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FC62" w14:textId="77777777" w:rsidR="00C52336" w:rsidRPr="00C52336" w:rsidRDefault="00C52336" w:rsidP="00C52336">
      <w:pPr>
        <w:shd w:val="clear" w:color="auto" w:fill="FFFFFF"/>
        <w:spacing w:before="100" w:beforeAutospacing="1" w:after="100" w:afterAutospacing="1" w:line="240" w:lineRule="auto"/>
        <w:outlineLvl w:val="0"/>
        <w:rPr>
          <w:rFonts w:eastAsia="Times New Roman" w:cstheme="minorHAnsi"/>
          <w:b/>
          <w:bCs/>
          <w:color w:val="1C3144"/>
          <w:kern w:val="36"/>
          <w:sz w:val="32"/>
          <w:szCs w:val="32"/>
          <w:lang w:eastAsia="en-CA"/>
          <w14:ligatures w14:val="none"/>
        </w:rPr>
      </w:pPr>
      <w:r w:rsidRPr="00C52336">
        <w:rPr>
          <w:rFonts w:eastAsia="Times New Roman" w:cstheme="minorHAnsi"/>
          <w:b/>
          <w:bCs/>
          <w:color w:val="1C3144"/>
          <w:kern w:val="36"/>
          <w:sz w:val="32"/>
          <w:szCs w:val="32"/>
          <w:lang w:eastAsia="en-CA"/>
          <w14:ligatures w14:val="none"/>
        </w:rPr>
        <w:t>Fusion Energy Reaches Prime Time</w:t>
      </w:r>
    </w:p>
    <w:p w14:paraId="7F3F0926"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b/>
          <w:bCs/>
          <w:i/>
          <w:iCs/>
          <w:color w:val="000000"/>
          <w:kern w:val="0"/>
          <w:lang w:eastAsia="en-CA"/>
          <w14:ligatures w14:val="none"/>
        </w:rPr>
        <w:t xml:space="preserve">Over the last three years, electricity generation </w:t>
      </w:r>
      <w:r w:rsidRPr="00D80D03">
        <w:rPr>
          <w:rFonts w:eastAsia="Times New Roman" w:cstheme="minorHAnsi"/>
          <w:b/>
          <w:bCs/>
          <w:i/>
          <w:iCs/>
          <w:color w:val="000000"/>
          <w:kern w:val="0"/>
          <w:highlight w:val="yellow"/>
          <w:lang w:eastAsia="en-CA"/>
          <w14:ligatures w14:val="none"/>
        </w:rPr>
        <w:t xml:space="preserve">from fusion has moved from the realm of science fiction to the </w:t>
      </w:r>
      <w:r w:rsidRPr="00D80D03">
        <w:rPr>
          <w:rFonts w:eastAsia="Times New Roman" w:cstheme="minorHAnsi"/>
          <w:b/>
          <w:bCs/>
          <w:i/>
          <w:iCs/>
          <w:color w:val="000000"/>
          <w:kern w:val="0"/>
          <w:highlight w:val="green"/>
          <w:lang w:eastAsia="en-CA"/>
          <w14:ligatures w14:val="none"/>
        </w:rPr>
        <w:t>brink</w:t>
      </w:r>
      <w:r w:rsidRPr="00D80D03">
        <w:rPr>
          <w:rFonts w:eastAsia="Times New Roman" w:cstheme="minorHAnsi"/>
          <w:b/>
          <w:bCs/>
          <w:i/>
          <w:iCs/>
          <w:color w:val="000000"/>
          <w:kern w:val="0"/>
          <w:highlight w:val="yellow"/>
          <w:lang w:eastAsia="en-CA"/>
          <w14:ligatures w14:val="none"/>
        </w:rPr>
        <w:t xml:space="preserve"> of serious development</w:t>
      </w:r>
      <w:r w:rsidRPr="00C52336">
        <w:rPr>
          <w:rFonts w:eastAsia="Times New Roman" w:cstheme="minorHAnsi"/>
          <w:b/>
          <w:bCs/>
          <w:i/>
          <w:iCs/>
          <w:color w:val="000000"/>
          <w:kern w:val="0"/>
          <w:lang w:eastAsia="en-CA"/>
          <w14:ligatures w14:val="none"/>
        </w:rPr>
        <w:t xml:space="preserve">. A lot has happened, </w:t>
      </w:r>
      <w:r w:rsidRPr="00D80D03">
        <w:rPr>
          <w:rFonts w:eastAsia="Times New Roman" w:cstheme="minorHAnsi"/>
          <w:b/>
          <w:bCs/>
          <w:i/>
          <w:iCs/>
          <w:color w:val="000000"/>
          <w:kern w:val="0"/>
          <w:highlight w:val="yellow"/>
          <w:lang w:eastAsia="en-CA"/>
          <w14:ligatures w14:val="none"/>
        </w:rPr>
        <w:t>but challenges remain</w:t>
      </w:r>
      <w:r w:rsidRPr="00C52336">
        <w:rPr>
          <w:rFonts w:eastAsia="Times New Roman" w:cstheme="minorHAnsi"/>
          <w:b/>
          <w:bCs/>
          <w:i/>
          <w:iCs/>
          <w:color w:val="000000"/>
          <w:kern w:val="0"/>
          <w:lang w:eastAsia="en-CA"/>
          <w14:ligatures w14:val="none"/>
        </w:rPr>
        <w:t xml:space="preserve"> before fusion arrives on the grid.</w:t>
      </w:r>
    </w:p>
    <w:p w14:paraId="304EF6EF"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For close to a century, electricity generation from fusion remained the stuff of science fiction, little more than a plot point that served to separate the present from the future. All that came to a dramatic end over the past three years, as </w:t>
      </w:r>
      <w:r w:rsidRPr="00D80D03">
        <w:rPr>
          <w:rFonts w:eastAsia="Times New Roman" w:cstheme="minorHAnsi"/>
          <w:color w:val="000000"/>
          <w:kern w:val="0"/>
          <w:highlight w:val="yellow"/>
          <w:lang w:eastAsia="en-CA"/>
          <w14:ligatures w14:val="none"/>
        </w:rPr>
        <w:t>a cascading series of scientific, technical, business, and political developments yanked fusion out of the labs and onto the front pages</w:t>
      </w:r>
      <w:r w:rsidRPr="00C52336">
        <w:rPr>
          <w:rFonts w:eastAsia="Times New Roman" w:cstheme="minorHAnsi"/>
          <w:color w:val="000000"/>
          <w:kern w:val="0"/>
          <w:lang w:eastAsia="en-CA"/>
          <w14:ligatures w14:val="none"/>
        </w:rPr>
        <w:t>.</w:t>
      </w:r>
    </w:p>
    <w:p w14:paraId="6063F9AD"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Fusion scientists have been quietly working toward practical electricity generation since the 1950s (see “</w:t>
      </w:r>
      <w:hyperlink r:id="rId4" w:tgtFrame="_blank" w:history="1">
        <w:r w:rsidRPr="00C52336">
          <w:rPr>
            <w:rFonts w:eastAsia="Times New Roman" w:cstheme="minorHAnsi"/>
            <w:color w:val="03548D"/>
            <w:kern w:val="0"/>
            <w:lang w:eastAsia="en-CA"/>
            <w14:ligatures w14:val="none"/>
          </w:rPr>
          <w:t>Fusion Energy Is Coming, and Maybe Sooner than You Think</w:t>
        </w:r>
      </w:hyperlink>
      <w:r w:rsidRPr="00C52336">
        <w:rPr>
          <w:rFonts w:eastAsia="Times New Roman" w:cstheme="minorHAnsi"/>
          <w:color w:val="000000"/>
          <w:kern w:val="0"/>
          <w:lang w:eastAsia="en-CA"/>
          <w14:ligatures w14:val="none"/>
        </w:rPr>
        <w:t>” in the June 2020 issue of </w:t>
      </w:r>
      <w:r w:rsidRPr="00C52336">
        <w:rPr>
          <w:rFonts w:eastAsia="Times New Roman" w:cstheme="minorHAnsi"/>
          <w:i/>
          <w:iCs/>
          <w:color w:val="000000"/>
          <w:kern w:val="0"/>
          <w:lang w:eastAsia="en-CA"/>
          <w14:ligatures w14:val="none"/>
        </w:rPr>
        <w:t>POWER</w:t>
      </w:r>
      <w:r w:rsidRPr="00C52336">
        <w:rPr>
          <w:rFonts w:eastAsia="Times New Roman" w:cstheme="minorHAnsi"/>
          <w:color w:val="000000"/>
          <w:kern w:val="0"/>
          <w:lang w:eastAsia="en-CA"/>
          <w14:ligatures w14:val="none"/>
        </w:rPr>
        <w:t xml:space="preserve">). These incremental advances reached a </w:t>
      </w:r>
      <w:r w:rsidRPr="00D80D03">
        <w:rPr>
          <w:rFonts w:eastAsia="Times New Roman" w:cstheme="minorHAnsi"/>
          <w:color w:val="000000"/>
          <w:kern w:val="0"/>
          <w:highlight w:val="yellow"/>
          <w:lang w:eastAsia="en-CA"/>
          <w14:ligatures w14:val="none"/>
        </w:rPr>
        <w:t>critical mass in 2021</w:t>
      </w:r>
      <w:r w:rsidRPr="00C52336">
        <w:rPr>
          <w:rFonts w:eastAsia="Times New Roman" w:cstheme="minorHAnsi"/>
          <w:color w:val="000000"/>
          <w:kern w:val="0"/>
          <w:lang w:eastAsia="en-CA"/>
          <w14:ligatures w14:val="none"/>
        </w:rPr>
        <w:t xml:space="preserve"> as the financial and political establishments finally began </w:t>
      </w:r>
      <w:r w:rsidRPr="00D80D03">
        <w:rPr>
          <w:rFonts w:eastAsia="Times New Roman" w:cstheme="minorHAnsi"/>
          <w:color w:val="000000"/>
          <w:kern w:val="0"/>
          <w:highlight w:val="yellow"/>
          <w:lang w:eastAsia="en-CA"/>
          <w14:ligatures w14:val="none"/>
        </w:rPr>
        <w:t>seeing fusion energy as a worthy investment</w:t>
      </w:r>
      <w:r w:rsidRPr="00C52336">
        <w:rPr>
          <w:rFonts w:eastAsia="Times New Roman" w:cstheme="minorHAnsi"/>
          <w:color w:val="000000"/>
          <w:kern w:val="0"/>
          <w:lang w:eastAsia="en-CA"/>
          <w14:ligatures w14:val="none"/>
        </w:rPr>
        <w:t>—</w:t>
      </w:r>
      <w:r w:rsidRPr="00D80D03">
        <w:rPr>
          <w:rFonts w:eastAsia="Times New Roman" w:cstheme="minorHAnsi"/>
          <w:color w:val="000000"/>
          <w:kern w:val="0"/>
          <w:lang w:eastAsia="en-CA"/>
          <w14:ligatures w14:val="none"/>
        </w:rPr>
        <w:t xml:space="preserve">not for the distant future but as </w:t>
      </w:r>
      <w:r w:rsidRPr="00D80D03">
        <w:rPr>
          <w:rFonts w:eastAsia="Times New Roman" w:cstheme="minorHAnsi"/>
          <w:color w:val="000000"/>
          <w:kern w:val="0"/>
          <w:highlight w:val="yellow"/>
          <w:lang w:eastAsia="en-CA"/>
          <w14:ligatures w14:val="none"/>
        </w:rPr>
        <w:t>something that could be achieved within the next decade.</w:t>
      </w:r>
    </w:p>
    <w:p w14:paraId="766E4D4B"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This article is intended as an update to the 2020 piece and will review the key events since its publication. No single development is responsible for the dramatic shift in attention toward fusion, and the organization below should not be taken as indication of relative importance, as all of them have contributed.</w:t>
      </w:r>
    </w:p>
    <w:p w14:paraId="00982239" w14:textId="77777777" w:rsidR="00C52336" w:rsidRPr="00C52336" w:rsidRDefault="00C52336" w:rsidP="00C52336">
      <w:pPr>
        <w:shd w:val="clear" w:color="auto" w:fill="FFFFFF"/>
        <w:spacing w:after="100" w:afterAutospacing="1" w:line="240" w:lineRule="auto"/>
        <w:outlineLvl w:val="1"/>
        <w:rPr>
          <w:rFonts w:eastAsia="Times New Roman" w:cstheme="minorHAnsi"/>
          <w:b/>
          <w:bCs/>
          <w:color w:val="1D3557"/>
          <w:kern w:val="0"/>
          <w:lang w:eastAsia="en-CA"/>
          <w14:ligatures w14:val="none"/>
        </w:rPr>
      </w:pPr>
      <w:r w:rsidRPr="00C52336">
        <w:rPr>
          <w:rFonts w:eastAsia="Times New Roman" w:cstheme="minorHAnsi"/>
          <w:b/>
          <w:bCs/>
          <w:color w:val="1D3557"/>
          <w:kern w:val="0"/>
          <w:lang w:eastAsia="en-CA"/>
          <w14:ligatures w14:val="none"/>
        </w:rPr>
        <w:t>Scientific Breakthroughs</w:t>
      </w:r>
    </w:p>
    <w:p w14:paraId="67658E71"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While there has been continued progress in fusion science over the past several years, </w:t>
      </w:r>
      <w:r w:rsidRPr="00D80D03">
        <w:rPr>
          <w:rFonts w:eastAsia="Times New Roman" w:cstheme="minorHAnsi"/>
          <w:color w:val="000000"/>
          <w:kern w:val="0"/>
          <w:highlight w:val="yellow"/>
          <w:lang w:eastAsia="en-CA"/>
          <w14:ligatures w14:val="none"/>
        </w:rPr>
        <w:t>three events</w:t>
      </w:r>
      <w:r w:rsidRPr="00C52336">
        <w:rPr>
          <w:rFonts w:eastAsia="Times New Roman" w:cstheme="minorHAnsi"/>
          <w:color w:val="000000"/>
          <w:kern w:val="0"/>
          <w:lang w:eastAsia="en-CA"/>
          <w14:ligatures w14:val="none"/>
        </w:rPr>
        <w:t xml:space="preserve"> stand out because of their significance in reaching practical generation.</w:t>
      </w:r>
    </w:p>
    <w:p w14:paraId="3E16658F"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D80D03">
        <w:rPr>
          <w:rFonts w:eastAsia="Times New Roman" w:cstheme="minorHAnsi"/>
          <w:color w:val="000000"/>
          <w:kern w:val="0"/>
          <w:highlight w:val="yellow"/>
          <w:lang w:eastAsia="en-CA"/>
          <w14:ligatures w14:val="none"/>
        </w:rPr>
        <w:t>The first, in May 2021, took</w:t>
      </w:r>
      <w:r w:rsidRPr="00C52336">
        <w:rPr>
          <w:rFonts w:eastAsia="Times New Roman" w:cstheme="minorHAnsi"/>
          <w:color w:val="000000"/>
          <w:kern w:val="0"/>
          <w:lang w:eastAsia="en-CA"/>
          <w14:ligatures w14:val="none"/>
        </w:rPr>
        <w:t xml:space="preserve"> place at the Experimental Advanced Superconducting Tokamak (EAST) in Hefei, China. Researchers at </w:t>
      </w:r>
      <w:r w:rsidRPr="00D80D03">
        <w:rPr>
          <w:rFonts w:eastAsia="Times New Roman" w:cstheme="minorHAnsi"/>
          <w:color w:val="000000"/>
          <w:kern w:val="0"/>
          <w:highlight w:val="yellow"/>
          <w:lang w:eastAsia="en-CA"/>
          <w14:ligatures w14:val="none"/>
        </w:rPr>
        <w:t>EAST maintained a steady-state fusion reaction for a remarkable 1,056 seconds—almost 20 minutes</w:t>
      </w:r>
      <w:r w:rsidRPr="00C52336">
        <w:rPr>
          <w:rFonts w:eastAsia="Times New Roman" w:cstheme="minorHAnsi"/>
          <w:color w:val="000000"/>
          <w:kern w:val="0"/>
          <w:lang w:eastAsia="en-CA"/>
          <w14:ligatures w14:val="none"/>
        </w:rPr>
        <w:t xml:space="preserve">. This achievement, in a device using a design and technologies </w:t>
      </w:r>
      <w:proofErr w:type="gramStart"/>
      <w:r w:rsidRPr="00C52336">
        <w:rPr>
          <w:rFonts w:eastAsia="Times New Roman" w:cstheme="minorHAnsi"/>
          <w:color w:val="000000"/>
          <w:kern w:val="0"/>
          <w:lang w:eastAsia="en-CA"/>
          <w14:ligatures w14:val="none"/>
        </w:rPr>
        <w:t>similar to</w:t>
      </w:r>
      <w:proofErr w:type="gramEnd"/>
      <w:r w:rsidRPr="00C52336">
        <w:rPr>
          <w:rFonts w:eastAsia="Times New Roman" w:cstheme="minorHAnsi"/>
          <w:color w:val="000000"/>
          <w:kern w:val="0"/>
          <w:lang w:eastAsia="en-CA"/>
          <w14:ligatures w14:val="none"/>
        </w:rPr>
        <w:t xml:space="preserve"> those likely to be employed by future power plants, </w:t>
      </w:r>
      <w:r w:rsidRPr="00D80D03">
        <w:rPr>
          <w:rFonts w:eastAsia="Times New Roman" w:cstheme="minorHAnsi"/>
          <w:color w:val="000000"/>
          <w:kern w:val="0"/>
          <w:highlight w:val="yellow"/>
          <w:lang w:eastAsia="en-CA"/>
          <w14:ligatures w14:val="none"/>
        </w:rPr>
        <w:t>clearly indicates that long-term operation is possible.</w:t>
      </w:r>
    </w:p>
    <w:p w14:paraId="7C430273"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next event took place </w:t>
      </w:r>
      <w:r w:rsidRPr="00D80D03">
        <w:rPr>
          <w:rFonts w:eastAsia="Times New Roman" w:cstheme="minorHAnsi"/>
          <w:color w:val="000000"/>
          <w:kern w:val="0"/>
          <w:highlight w:val="yellow"/>
          <w:lang w:eastAsia="en-CA"/>
          <w14:ligatures w14:val="none"/>
        </w:rPr>
        <w:t>only months later</w:t>
      </w:r>
      <w:r w:rsidRPr="00C52336">
        <w:rPr>
          <w:rFonts w:eastAsia="Times New Roman" w:cstheme="minorHAnsi"/>
          <w:color w:val="000000"/>
          <w:kern w:val="0"/>
          <w:lang w:eastAsia="en-CA"/>
          <w14:ligatures w14:val="none"/>
        </w:rPr>
        <w:t xml:space="preserve">. The </w:t>
      </w:r>
      <w:r w:rsidRPr="00D80D03">
        <w:rPr>
          <w:rFonts w:eastAsia="Times New Roman" w:cstheme="minorHAnsi"/>
          <w:color w:val="000000"/>
          <w:kern w:val="0"/>
          <w:highlight w:val="yellow"/>
          <w:lang w:eastAsia="en-CA"/>
          <w14:ligatures w14:val="none"/>
        </w:rPr>
        <w:t>Joint European Torus (JET)</w:t>
      </w:r>
      <w:r w:rsidRPr="00C52336">
        <w:rPr>
          <w:rFonts w:eastAsia="Times New Roman" w:cstheme="minorHAnsi"/>
          <w:color w:val="000000"/>
          <w:kern w:val="0"/>
          <w:lang w:eastAsia="en-CA"/>
          <w14:ligatures w14:val="none"/>
        </w:rPr>
        <w:t xml:space="preserve">, at the UK Atomic Energy Authority’s (UKAEA’s) </w:t>
      </w:r>
      <w:proofErr w:type="spellStart"/>
      <w:r w:rsidRPr="00C52336">
        <w:rPr>
          <w:rFonts w:eastAsia="Times New Roman" w:cstheme="minorHAnsi"/>
          <w:color w:val="000000"/>
          <w:kern w:val="0"/>
          <w:lang w:eastAsia="en-CA"/>
          <w14:ligatures w14:val="none"/>
        </w:rPr>
        <w:t>Culham</w:t>
      </w:r>
      <w:proofErr w:type="spellEnd"/>
      <w:r w:rsidRPr="00C52336">
        <w:rPr>
          <w:rFonts w:eastAsia="Times New Roman" w:cstheme="minorHAnsi"/>
          <w:color w:val="000000"/>
          <w:kern w:val="0"/>
          <w:lang w:eastAsia="en-CA"/>
          <w14:ligatures w14:val="none"/>
        </w:rPr>
        <w:t xml:space="preserve"> Laboratory in Oxfordshire, is the largest fusion tokamak in the world (Figure 1) and has held the record for fusion power since 1997. </w:t>
      </w:r>
      <w:r w:rsidRPr="007103BA">
        <w:rPr>
          <w:rFonts w:eastAsia="Times New Roman" w:cstheme="minorHAnsi"/>
          <w:color w:val="000000"/>
          <w:kern w:val="0"/>
          <w:highlight w:val="yellow"/>
          <w:lang w:eastAsia="en-CA"/>
          <w14:ligatures w14:val="none"/>
        </w:rPr>
        <w:t>That record—21.7 megajoules (MJ)—was smashed in </w:t>
      </w:r>
      <w:hyperlink r:id="rId5" w:tgtFrame="_blank" w:history="1">
        <w:r w:rsidRPr="007103BA">
          <w:rPr>
            <w:rFonts w:eastAsia="Times New Roman" w:cstheme="minorHAnsi"/>
            <w:color w:val="03548D"/>
            <w:kern w:val="0"/>
            <w:highlight w:val="yellow"/>
            <w:lang w:eastAsia="en-CA"/>
            <w14:ligatures w14:val="none"/>
          </w:rPr>
          <w:t>late 2021 with a fusion pulse that achieved 59 MJ</w:t>
        </w:r>
      </w:hyperlink>
      <w:r w:rsidRPr="007103BA">
        <w:rPr>
          <w:rFonts w:eastAsia="Times New Roman" w:cstheme="minorHAnsi"/>
          <w:color w:val="000000"/>
          <w:kern w:val="0"/>
          <w:highlight w:val="yellow"/>
          <w:lang w:eastAsia="en-CA"/>
          <w14:ligatures w14:val="none"/>
        </w:rPr>
        <w:t>.</w:t>
      </w:r>
      <w:r w:rsidRPr="00C52336">
        <w:rPr>
          <w:rFonts w:eastAsia="Times New Roman" w:cstheme="minorHAnsi"/>
          <w:color w:val="000000"/>
          <w:kern w:val="0"/>
          <w:lang w:eastAsia="en-CA"/>
          <w14:ligatures w14:val="none"/>
        </w:rPr>
        <w:t xml:space="preserve"> The significance of this experiment was not just in the increased power but also because JET has been reconfigured in recent years to help prepare for operations on the ITER experiment under construction in France.</w:t>
      </w:r>
    </w:p>
    <w:tbl>
      <w:tblPr>
        <w:tblW w:w="9270" w:type="dxa"/>
        <w:tblCellMar>
          <w:top w:w="15" w:type="dxa"/>
          <w:left w:w="15" w:type="dxa"/>
          <w:bottom w:w="15" w:type="dxa"/>
          <w:right w:w="15" w:type="dxa"/>
        </w:tblCellMar>
        <w:tblLook w:val="04A0" w:firstRow="1" w:lastRow="0" w:firstColumn="1" w:lastColumn="0" w:noHBand="0" w:noVBand="1"/>
      </w:tblPr>
      <w:tblGrid>
        <w:gridCol w:w="9270"/>
      </w:tblGrid>
      <w:tr w:rsidR="00C52336" w:rsidRPr="00C52336" w14:paraId="7A486171" w14:textId="77777777" w:rsidTr="00C52336">
        <w:tc>
          <w:tcPr>
            <w:tcW w:w="9270" w:type="dxa"/>
            <w:vAlign w:val="center"/>
            <w:hideMark/>
          </w:tcPr>
          <w:p w14:paraId="31C1FE5F" w14:textId="77777777" w:rsidR="00C52336" w:rsidRPr="00C52336" w:rsidRDefault="00C52336" w:rsidP="00C52336">
            <w:pPr>
              <w:spacing w:after="0" w:line="240" w:lineRule="auto"/>
              <w:rPr>
                <w:rFonts w:eastAsia="Times New Roman" w:cstheme="minorHAnsi"/>
                <w:kern w:val="0"/>
                <w:lang w:eastAsia="en-CA"/>
                <w14:ligatures w14:val="none"/>
              </w:rPr>
            </w:pPr>
            <w:r w:rsidRPr="00C52336">
              <w:rPr>
                <w:rFonts w:eastAsia="Times New Roman" w:cstheme="minorHAnsi"/>
                <w:noProof/>
                <w:kern w:val="0"/>
                <w:lang w:eastAsia="en-CA"/>
                <w14:ligatures w14:val="none"/>
              </w:rPr>
              <w:drawing>
                <wp:inline distT="0" distB="0" distL="0" distR="0" wp14:anchorId="604F61CF" wp14:editId="55E076B3">
                  <wp:extent cx="2020427" cy="16287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1832" cy="1637969"/>
                          </a:xfrm>
                          <a:prstGeom prst="rect">
                            <a:avLst/>
                          </a:prstGeom>
                          <a:noFill/>
                          <a:ln>
                            <a:noFill/>
                          </a:ln>
                        </pic:spPr>
                      </pic:pic>
                    </a:graphicData>
                  </a:graphic>
                </wp:inline>
              </w:drawing>
            </w:r>
          </w:p>
        </w:tc>
      </w:tr>
      <w:tr w:rsidR="00C52336" w:rsidRPr="00C52336" w14:paraId="38ADA241" w14:textId="77777777" w:rsidTr="00C52336">
        <w:tc>
          <w:tcPr>
            <w:tcW w:w="9270" w:type="dxa"/>
            <w:vAlign w:val="center"/>
            <w:hideMark/>
          </w:tcPr>
          <w:p w14:paraId="5BC0AA9B" w14:textId="77777777" w:rsidR="00C52336" w:rsidRDefault="00C52336" w:rsidP="00C52336">
            <w:pPr>
              <w:spacing w:after="100" w:afterAutospacing="1" w:line="240" w:lineRule="auto"/>
              <w:rPr>
                <w:rFonts w:eastAsia="Times New Roman" w:cstheme="minorHAnsi"/>
                <w:i/>
                <w:iCs/>
                <w:color w:val="000000"/>
                <w:kern w:val="0"/>
                <w:lang w:eastAsia="en-CA"/>
                <w14:ligatures w14:val="none"/>
              </w:rPr>
            </w:pPr>
            <w:r w:rsidRPr="00C52336">
              <w:rPr>
                <w:rFonts w:eastAsia="Times New Roman" w:cstheme="minorHAnsi"/>
                <w:i/>
                <w:iCs/>
                <w:color w:val="000000"/>
                <w:kern w:val="0"/>
                <w:lang w:eastAsia="en-CA"/>
                <w14:ligatures w14:val="none"/>
              </w:rPr>
              <w:t xml:space="preserve">1. The Joint European Torus (JET) at the </w:t>
            </w:r>
            <w:proofErr w:type="spellStart"/>
            <w:r w:rsidRPr="00C52336">
              <w:rPr>
                <w:rFonts w:eastAsia="Times New Roman" w:cstheme="minorHAnsi"/>
                <w:i/>
                <w:iCs/>
                <w:color w:val="000000"/>
                <w:kern w:val="0"/>
                <w:lang w:eastAsia="en-CA"/>
                <w14:ligatures w14:val="none"/>
              </w:rPr>
              <w:t>Culham</w:t>
            </w:r>
            <w:proofErr w:type="spellEnd"/>
            <w:r w:rsidRPr="00C52336">
              <w:rPr>
                <w:rFonts w:eastAsia="Times New Roman" w:cstheme="minorHAnsi"/>
                <w:i/>
                <w:iCs/>
                <w:color w:val="000000"/>
                <w:kern w:val="0"/>
                <w:lang w:eastAsia="en-CA"/>
                <w14:ligatures w14:val="none"/>
              </w:rPr>
              <w:t xml:space="preserve"> Centre for Fusion Energy in the UK is the central research facility of the European Fusion Programme, and the largest tokamak in the world. Courtesy: UK Atomic Energy Authority</w:t>
            </w:r>
          </w:p>
          <w:p w14:paraId="45CF3193" w14:textId="77777777" w:rsidR="00C52336" w:rsidRPr="00C52336" w:rsidRDefault="00C52336" w:rsidP="00C52336">
            <w:pPr>
              <w:spacing w:after="100" w:afterAutospacing="1" w:line="240" w:lineRule="auto"/>
              <w:rPr>
                <w:rFonts w:eastAsia="Times New Roman" w:cstheme="minorHAnsi"/>
                <w:color w:val="000000"/>
                <w:kern w:val="0"/>
                <w:lang w:eastAsia="en-CA"/>
                <w14:ligatures w14:val="none"/>
              </w:rPr>
            </w:pPr>
          </w:p>
        </w:tc>
      </w:tr>
    </w:tbl>
    <w:p w14:paraId="783666E2"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lastRenderedPageBreak/>
        <w:t xml:space="preserve">The pulse was part of a dedicated experimental campaign designed by </w:t>
      </w:r>
      <w:proofErr w:type="spellStart"/>
      <w:r w:rsidRPr="007103BA">
        <w:rPr>
          <w:rFonts w:eastAsia="Times New Roman" w:cstheme="minorHAnsi"/>
          <w:color w:val="000000"/>
          <w:kern w:val="0"/>
          <w:highlight w:val="yellow"/>
          <w:lang w:eastAsia="en-CA"/>
          <w14:ligatures w14:val="none"/>
        </w:rPr>
        <w:t>EUROfusion</w:t>
      </w:r>
      <w:proofErr w:type="spellEnd"/>
      <w:r w:rsidRPr="00C52336">
        <w:rPr>
          <w:rFonts w:eastAsia="Times New Roman" w:cstheme="minorHAnsi"/>
          <w:color w:val="000000"/>
          <w:kern w:val="0"/>
          <w:lang w:eastAsia="en-CA"/>
          <w14:ligatures w14:val="none"/>
        </w:rPr>
        <w:t xml:space="preserve">, the scientific organization that operates JET, to apply advances from the past several decades to ITER-relevant conditions. </w:t>
      </w:r>
      <w:r w:rsidRPr="007103BA">
        <w:rPr>
          <w:rFonts w:eastAsia="Times New Roman" w:cstheme="minorHAnsi"/>
          <w:color w:val="000000"/>
          <w:kern w:val="0"/>
          <w:highlight w:val="yellow"/>
          <w:lang w:eastAsia="en-CA"/>
          <w14:ligatures w14:val="none"/>
        </w:rPr>
        <w:t>Though the pulse lasted only five seconds, the results bode well for scaling up the approach at ITER.</w:t>
      </w:r>
    </w:p>
    <w:p w14:paraId="5A15F30C"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“This achievement is the result of years-long preparation by the </w:t>
      </w:r>
      <w:proofErr w:type="spellStart"/>
      <w:r w:rsidRPr="00C52336">
        <w:rPr>
          <w:rFonts w:eastAsia="Times New Roman" w:cstheme="minorHAnsi"/>
          <w:color w:val="000000"/>
          <w:kern w:val="0"/>
          <w:lang w:eastAsia="en-CA"/>
          <w14:ligatures w14:val="none"/>
        </w:rPr>
        <w:t>EUROfusion</w:t>
      </w:r>
      <w:proofErr w:type="spellEnd"/>
      <w:r w:rsidRPr="00C52336">
        <w:rPr>
          <w:rFonts w:eastAsia="Times New Roman" w:cstheme="minorHAnsi"/>
          <w:color w:val="000000"/>
          <w:kern w:val="0"/>
          <w:lang w:eastAsia="en-CA"/>
          <w14:ligatures w14:val="none"/>
        </w:rPr>
        <w:t xml:space="preserve"> team of researchers across Europe,” </w:t>
      </w:r>
      <w:proofErr w:type="spellStart"/>
      <w:r w:rsidRPr="00C52336">
        <w:rPr>
          <w:rFonts w:eastAsia="Times New Roman" w:cstheme="minorHAnsi"/>
          <w:color w:val="000000"/>
          <w:kern w:val="0"/>
          <w:lang w:eastAsia="en-CA"/>
          <w14:ligatures w14:val="none"/>
        </w:rPr>
        <w:t>EUROfusion</w:t>
      </w:r>
      <w:proofErr w:type="spellEnd"/>
      <w:r w:rsidRPr="00C52336">
        <w:rPr>
          <w:rFonts w:eastAsia="Times New Roman" w:cstheme="minorHAnsi"/>
          <w:color w:val="000000"/>
          <w:kern w:val="0"/>
          <w:lang w:eastAsia="en-CA"/>
          <w14:ligatures w14:val="none"/>
        </w:rPr>
        <w:t xml:space="preserve"> Programme Manager </w:t>
      </w:r>
      <w:r w:rsidRPr="007103BA">
        <w:rPr>
          <w:rFonts w:eastAsia="Times New Roman" w:cstheme="minorHAnsi"/>
          <w:color w:val="000000"/>
          <w:kern w:val="0"/>
          <w:highlight w:val="yellow"/>
          <w:lang w:eastAsia="en-CA"/>
          <w14:ligatures w14:val="none"/>
        </w:rPr>
        <w:t xml:space="preserve">Tony </w:t>
      </w:r>
      <w:proofErr w:type="spellStart"/>
      <w:r w:rsidRPr="007103BA">
        <w:rPr>
          <w:rFonts w:eastAsia="Times New Roman" w:cstheme="minorHAnsi"/>
          <w:color w:val="000000"/>
          <w:kern w:val="0"/>
          <w:highlight w:val="yellow"/>
          <w:lang w:eastAsia="en-CA"/>
          <w14:ligatures w14:val="none"/>
        </w:rPr>
        <w:t>Donné</w:t>
      </w:r>
      <w:proofErr w:type="spellEnd"/>
      <w:r w:rsidRPr="00C52336">
        <w:rPr>
          <w:rFonts w:eastAsia="Times New Roman" w:cstheme="minorHAnsi"/>
          <w:color w:val="000000"/>
          <w:kern w:val="0"/>
          <w:lang w:eastAsia="en-CA"/>
          <w14:ligatures w14:val="none"/>
        </w:rPr>
        <w:t xml:space="preserve"> said at the time. “The record, and more importantly the things we’ve learned about fusion under these conditions and how it fully confirms our predictions, </w:t>
      </w:r>
      <w:r w:rsidRPr="00AE62F9">
        <w:rPr>
          <w:rFonts w:eastAsia="Times New Roman" w:cstheme="minorHAnsi"/>
          <w:color w:val="000000"/>
          <w:kern w:val="0"/>
          <w:highlight w:val="yellow"/>
          <w:lang w:eastAsia="en-CA"/>
          <w14:ligatures w14:val="none"/>
        </w:rPr>
        <w:t>show that we are on the right path to a future world of fusion energy. If we can maintain fusion for five seconds, we can do it for five minutes and then five hours as we scale up our operations in future machines.”</w:t>
      </w:r>
    </w:p>
    <w:p w14:paraId="1719F272"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Put another way, the results on JET strongly suggest that the magnetic fusion technology being used for ITER can produce the net energy that it is designed to. </w:t>
      </w:r>
      <w:r w:rsidRPr="00AE62F9">
        <w:rPr>
          <w:rFonts w:eastAsia="Times New Roman" w:cstheme="minorHAnsi"/>
          <w:color w:val="000000"/>
          <w:kern w:val="0"/>
          <w:highlight w:val="yellow"/>
          <w:lang w:eastAsia="en-CA"/>
          <w14:ligatures w14:val="none"/>
        </w:rPr>
        <w:t>JET is not large or powerful enough to reach that milestone on its own</w:t>
      </w:r>
      <w:r w:rsidRPr="00C52336">
        <w:rPr>
          <w:rFonts w:eastAsia="Times New Roman" w:cstheme="minorHAnsi"/>
          <w:color w:val="000000"/>
          <w:kern w:val="0"/>
          <w:lang w:eastAsia="en-CA"/>
          <w14:ligatures w14:val="none"/>
        </w:rPr>
        <w:t>, but the much larger ITER machine will be, once it begins operations in the 2030s.</w:t>
      </w:r>
    </w:p>
    <w:p w14:paraId="5976C625"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As impressive as the JET achievement was, an even more dramatic event occurred the following year. </w:t>
      </w:r>
      <w:r w:rsidRPr="00AE62F9">
        <w:rPr>
          <w:rFonts w:eastAsia="Times New Roman" w:cstheme="minorHAnsi"/>
          <w:color w:val="000000"/>
          <w:kern w:val="0"/>
          <w:highlight w:val="yellow"/>
          <w:lang w:eastAsia="en-CA"/>
          <w14:ligatures w14:val="none"/>
        </w:rPr>
        <w:t>In December 2022, researchers at the National Ignition Facility (NIF) at Lawrence Livermore National Laboratory in California achieved something that had never been managed before: </w:t>
      </w:r>
      <w:hyperlink r:id="rId7" w:tgtFrame="_blank" w:history="1">
        <w:r w:rsidRPr="00AE62F9">
          <w:rPr>
            <w:rFonts w:eastAsia="Times New Roman" w:cstheme="minorHAnsi"/>
            <w:color w:val="03548D"/>
            <w:kern w:val="0"/>
            <w:highlight w:val="yellow"/>
            <w:lang w:eastAsia="en-CA"/>
            <w14:ligatures w14:val="none"/>
          </w:rPr>
          <w:t>net energy from a fusion reaction</w:t>
        </w:r>
      </w:hyperlink>
      <w:r w:rsidRPr="00AE62F9">
        <w:rPr>
          <w:rFonts w:eastAsia="Times New Roman" w:cstheme="minorHAnsi"/>
          <w:color w:val="000000"/>
          <w:kern w:val="0"/>
          <w:highlight w:val="yellow"/>
          <w:lang w:eastAsia="en-CA"/>
          <w14:ligatures w14:val="none"/>
        </w:rPr>
        <w:t> (Figure 2).</w:t>
      </w:r>
    </w:p>
    <w:tbl>
      <w:tblPr>
        <w:tblW w:w="9270" w:type="dxa"/>
        <w:tblCellMar>
          <w:top w:w="15" w:type="dxa"/>
          <w:left w:w="15" w:type="dxa"/>
          <w:bottom w:w="15" w:type="dxa"/>
          <w:right w:w="15" w:type="dxa"/>
        </w:tblCellMar>
        <w:tblLook w:val="04A0" w:firstRow="1" w:lastRow="0" w:firstColumn="1" w:lastColumn="0" w:noHBand="0" w:noVBand="1"/>
      </w:tblPr>
      <w:tblGrid>
        <w:gridCol w:w="9270"/>
      </w:tblGrid>
      <w:tr w:rsidR="00C52336" w:rsidRPr="00C52336" w14:paraId="56E5A3CA" w14:textId="77777777" w:rsidTr="00C52336">
        <w:tc>
          <w:tcPr>
            <w:tcW w:w="9270" w:type="dxa"/>
            <w:vAlign w:val="center"/>
            <w:hideMark/>
          </w:tcPr>
          <w:p w14:paraId="3C9C6544" w14:textId="77777777" w:rsidR="00C52336" w:rsidRPr="00C52336" w:rsidRDefault="00C52336" w:rsidP="00C52336">
            <w:pPr>
              <w:spacing w:after="0" w:line="240" w:lineRule="auto"/>
              <w:rPr>
                <w:rFonts w:eastAsia="Times New Roman" w:cstheme="minorHAnsi"/>
                <w:kern w:val="0"/>
                <w:lang w:eastAsia="en-CA"/>
                <w14:ligatures w14:val="none"/>
              </w:rPr>
            </w:pPr>
            <w:r w:rsidRPr="00C52336">
              <w:rPr>
                <w:rFonts w:eastAsia="Times New Roman" w:cstheme="minorHAnsi"/>
                <w:noProof/>
                <w:kern w:val="0"/>
                <w:lang w:eastAsia="en-CA"/>
                <w14:ligatures w14:val="none"/>
              </w:rPr>
              <w:drawing>
                <wp:inline distT="0" distB="0" distL="0" distR="0" wp14:anchorId="162230A2" wp14:editId="2AF1D80A">
                  <wp:extent cx="3388744" cy="2257425"/>
                  <wp:effectExtent l="0" t="0" r="2540" b="0"/>
                  <wp:docPr id="2" name="Picture 3" descr="A picture containing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severa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3759" cy="2260765"/>
                          </a:xfrm>
                          <a:prstGeom prst="rect">
                            <a:avLst/>
                          </a:prstGeom>
                          <a:noFill/>
                          <a:ln>
                            <a:noFill/>
                          </a:ln>
                        </pic:spPr>
                      </pic:pic>
                    </a:graphicData>
                  </a:graphic>
                </wp:inline>
              </w:drawing>
            </w:r>
          </w:p>
        </w:tc>
      </w:tr>
      <w:tr w:rsidR="00C52336" w:rsidRPr="00C52336" w14:paraId="422E4CAC" w14:textId="77777777" w:rsidTr="00C52336">
        <w:tc>
          <w:tcPr>
            <w:tcW w:w="9270" w:type="dxa"/>
            <w:vAlign w:val="center"/>
            <w:hideMark/>
          </w:tcPr>
          <w:p w14:paraId="42C95E2A" w14:textId="77777777" w:rsidR="00C52336" w:rsidRPr="00C52336" w:rsidRDefault="00C52336" w:rsidP="00C52336">
            <w:pPr>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i/>
                <w:iCs/>
                <w:color w:val="000000"/>
                <w:kern w:val="0"/>
                <w:lang w:eastAsia="en-CA"/>
                <w14:ligatures w14:val="none"/>
              </w:rPr>
              <w:t>2. A December 2022 experiment at the National Ignition Facility in California achieved net energy from fusion for the first time. The target chamber, shown here, directs 192 lasers onto a 2-millimeter spherical target holding the fusion fuel. Courtesy: Lawrence Livermore National Laboratory</w:t>
            </w:r>
          </w:p>
        </w:tc>
      </w:tr>
    </w:tbl>
    <w:p w14:paraId="7CEBA05E" w14:textId="77777777" w:rsid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p>
    <w:p w14:paraId="05402D0B" w14:textId="1AF9D1A0"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The experiment on NIF delivered 2.05 MJ of laser energy to a fusion target, igniting a </w:t>
      </w:r>
      <w:hyperlink r:id="rId9" w:tgtFrame="_blank" w:history="1">
        <w:r w:rsidRPr="00C52336">
          <w:rPr>
            <w:rFonts w:eastAsia="Times New Roman" w:cstheme="minorHAnsi"/>
            <w:color w:val="03548D"/>
            <w:kern w:val="0"/>
            <w:lang w:eastAsia="en-CA"/>
            <w14:ligatures w14:val="none"/>
          </w:rPr>
          <w:t>reaction that produced 3.15 MJ of fusion energy</w:t>
        </w:r>
      </w:hyperlink>
      <w:r w:rsidRPr="00C52336">
        <w:rPr>
          <w:rFonts w:eastAsia="Times New Roman" w:cstheme="minorHAnsi"/>
          <w:color w:val="000000"/>
          <w:kern w:val="0"/>
          <w:lang w:eastAsia="en-CA"/>
          <w14:ligatures w14:val="none"/>
        </w:rPr>
        <w:t xml:space="preserve">. While the inertial fusion approach used on NIF is different from the magnetic fusion technology on JET, </w:t>
      </w:r>
      <w:r w:rsidRPr="007821B9">
        <w:rPr>
          <w:rFonts w:eastAsia="Times New Roman" w:cstheme="minorHAnsi"/>
          <w:color w:val="000000"/>
          <w:kern w:val="0"/>
          <w:highlight w:val="yellow"/>
          <w:lang w:eastAsia="en-CA"/>
          <w14:ligatures w14:val="none"/>
        </w:rPr>
        <w:t>it established that net energy is possible and paves the way toward future developments.</w:t>
      </w:r>
      <w:r w:rsidRPr="00C52336">
        <w:rPr>
          <w:rFonts w:eastAsia="Times New Roman" w:cstheme="minorHAnsi"/>
          <w:color w:val="000000"/>
          <w:kern w:val="0"/>
          <w:lang w:eastAsia="en-CA"/>
          <w14:ligatures w14:val="none"/>
        </w:rPr>
        <w:t xml:space="preserve"> (It’s important to understand that “net energy,” which physicists refer to here as “target gain,” includes only the energy delivered to and produced by the target. It does not include the energy consumed by </w:t>
      </w:r>
      <w:proofErr w:type="gramStart"/>
      <w:r w:rsidRPr="00C52336">
        <w:rPr>
          <w:rFonts w:eastAsia="Times New Roman" w:cstheme="minorHAnsi"/>
          <w:color w:val="000000"/>
          <w:kern w:val="0"/>
          <w:lang w:eastAsia="en-CA"/>
          <w14:ligatures w14:val="none"/>
        </w:rPr>
        <w:t>NIF as a whole, which</w:t>
      </w:r>
      <w:proofErr w:type="gramEnd"/>
      <w:r w:rsidRPr="00C52336">
        <w:rPr>
          <w:rFonts w:eastAsia="Times New Roman" w:cstheme="minorHAnsi"/>
          <w:color w:val="000000"/>
          <w:kern w:val="0"/>
          <w:lang w:eastAsia="en-CA"/>
          <w14:ligatures w14:val="none"/>
        </w:rPr>
        <w:t xml:space="preserve"> is about two orders of magnitude larger. </w:t>
      </w:r>
      <w:r w:rsidRPr="007821B9">
        <w:rPr>
          <w:rFonts w:eastAsia="Times New Roman" w:cstheme="minorHAnsi"/>
          <w:color w:val="000000"/>
          <w:kern w:val="0"/>
          <w:highlight w:val="yellow"/>
          <w:lang w:eastAsia="en-CA"/>
          <w14:ligatures w14:val="none"/>
        </w:rPr>
        <w:t>In general, achieving electricity generation from inertial fusion is believed to be further away than with magnetic fusion.)</w:t>
      </w:r>
    </w:p>
    <w:p w14:paraId="0A0CA836" w14:textId="77777777" w:rsidR="00C52336" w:rsidRPr="00C52336" w:rsidRDefault="00C52336" w:rsidP="00C52336">
      <w:pPr>
        <w:shd w:val="clear" w:color="auto" w:fill="FFFFFF"/>
        <w:spacing w:after="100" w:afterAutospacing="1" w:line="240" w:lineRule="auto"/>
        <w:outlineLvl w:val="1"/>
        <w:rPr>
          <w:rFonts w:eastAsia="Times New Roman" w:cstheme="minorHAnsi"/>
          <w:b/>
          <w:bCs/>
          <w:color w:val="1D3557"/>
          <w:kern w:val="0"/>
          <w:lang w:eastAsia="en-CA"/>
          <w14:ligatures w14:val="none"/>
        </w:rPr>
      </w:pPr>
      <w:r w:rsidRPr="00C52336">
        <w:rPr>
          <w:rFonts w:eastAsia="Times New Roman" w:cstheme="minorHAnsi"/>
          <w:b/>
          <w:bCs/>
          <w:color w:val="1D3557"/>
          <w:kern w:val="0"/>
          <w:lang w:eastAsia="en-CA"/>
          <w14:ligatures w14:val="none"/>
        </w:rPr>
        <w:t>Private Fusion Funding</w:t>
      </w:r>
    </w:p>
    <w:p w14:paraId="229DCF59"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Fusion research in the private sector is not new. Companies such as </w:t>
      </w:r>
      <w:r w:rsidRPr="007821B9">
        <w:rPr>
          <w:rFonts w:eastAsia="Times New Roman" w:cstheme="minorHAnsi"/>
          <w:color w:val="000000"/>
          <w:kern w:val="0"/>
          <w:highlight w:val="yellow"/>
          <w:lang w:eastAsia="en-CA"/>
          <w14:ligatures w14:val="none"/>
        </w:rPr>
        <w:t>General Atomics</w:t>
      </w:r>
      <w:r w:rsidRPr="00C52336">
        <w:rPr>
          <w:rFonts w:eastAsia="Times New Roman" w:cstheme="minorHAnsi"/>
          <w:color w:val="000000"/>
          <w:kern w:val="0"/>
          <w:lang w:eastAsia="en-CA"/>
          <w14:ligatures w14:val="none"/>
        </w:rPr>
        <w:t xml:space="preserve"> have been working with the Department of Energy (DOE), and the Atomic Energy Commission before that, to develop practical fusion energy since the 1950s (Figure 3). </w:t>
      </w:r>
      <w:r w:rsidRPr="007821B9">
        <w:rPr>
          <w:rFonts w:eastAsia="Times New Roman" w:cstheme="minorHAnsi"/>
          <w:color w:val="000000"/>
          <w:kern w:val="0"/>
          <w:highlight w:val="yellow"/>
          <w:lang w:eastAsia="en-CA"/>
          <w14:ligatures w14:val="none"/>
        </w:rPr>
        <w:t xml:space="preserve">What changed in the early 2020s was a flood of investment from venture capital (VC) firms, private investors, and other entities in a rapidly expanding </w:t>
      </w:r>
      <w:r w:rsidRPr="007821B9">
        <w:rPr>
          <w:rFonts w:eastAsia="Times New Roman" w:cstheme="minorHAnsi"/>
          <w:color w:val="000000"/>
          <w:kern w:val="0"/>
          <w:highlight w:val="yellow"/>
          <w:lang w:eastAsia="en-CA"/>
          <w14:ligatures w14:val="none"/>
        </w:rPr>
        <w:lastRenderedPageBreak/>
        <w:t>array of start-ups pursuing fusion energy</w:t>
      </w:r>
      <w:r w:rsidRPr="00C52336">
        <w:rPr>
          <w:rFonts w:eastAsia="Times New Roman" w:cstheme="minorHAnsi"/>
          <w:color w:val="000000"/>
          <w:kern w:val="0"/>
          <w:lang w:eastAsia="en-CA"/>
          <w14:ligatures w14:val="none"/>
        </w:rPr>
        <w:t>. Cumulative investment in private fusion since 2001 stood at $1.5 billion at the end of 2020. According to figures from the Fusion Industry Association (FIA), that number surged to $2.03 billion at the end of 2021, and then leapt again to $4.8 billion at the end of 2022.</w:t>
      </w:r>
    </w:p>
    <w:tbl>
      <w:tblPr>
        <w:tblW w:w="9270" w:type="dxa"/>
        <w:tblCellMar>
          <w:top w:w="15" w:type="dxa"/>
          <w:left w:w="15" w:type="dxa"/>
          <w:bottom w:w="15" w:type="dxa"/>
          <w:right w:w="15" w:type="dxa"/>
        </w:tblCellMar>
        <w:tblLook w:val="04A0" w:firstRow="1" w:lastRow="0" w:firstColumn="1" w:lastColumn="0" w:noHBand="0" w:noVBand="1"/>
      </w:tblPr>
      <w:tblGrid>
        <w:gridCol w:w="9270"/>
      </w:tblGrid>
      <w:tr w:rsidR="00C52336" w:rsidRPr="00C52336" w14:paraId="75BF542E" w14:textId="77777777" w:rsidTr="00C52336">
        <w:tc>
          <w:tcPr>
            <w:tcW w:w="9270" w:type="dxa"/>
            <w:vAlign w:val="center"/>
            <w:hideMark/>
          </w:tcPr>
          <w:p w14:paraId="1B2857DC" w14:textId="77777777" w:rsidR="00C52336" w:rsidRPr="00C52336" w:rsidRDefault="00C52336" w:rsidP="00C52336">
            <w:pPr>
              <w:spacing w:after="0" w:line="240" w:lineRule="auto"/>
              <w:rPr>
                <w:rFonts w:eastAsia="Times New Roman" w:cstheme="minorHAnsi"/>
                <w:kern w:val="0"/>
                <w:lang w:eastAsia="en-CA"/>
                <w14:ligatures w14:val="none"/>
              </w:rPr>
            </w:pPr>
            <w:r w:rsidRPr="00C52336">
              <w:rPr>
                <w:rFonts w:eastAsia="Times New Roman" w:cstheme="minorHAnsi"/>
                <w:noProof/>
                <w:kern w:val="0"/>
                <w:lang w:eastAsia="en-CA"/>
                <w14:ligatures w14:val="none"/>
              </w:rPr>
              <w:drawing>
                <wp:inline distT="0" distB="0" distL="0" distR="0" wp14:anchorId="65924BAA" wp14:editId="3D4AE9B2">
                  <wp:extent cx="3354228" cy="2100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320" cy="2107208"/>
                          </a:xfrm>
                          <a:prstGeom prst="rect">
                            <a:avLst/>
                          </a:prstGeom>
                          <a:noFill/>
                          <a:ln>
                            <a:noFill/>
                          </a:ln>
                        </pic:spPr>
                      </pic:pic>
                    </a:graphicData>
                  </a:graphic>
                </wp:inline>
              </w:drawing>
            </w:r>
          </w:p>
        </w:tc>
      </w:tr>
      <w:tr w:rsidR="00C52336" w:rsidRPr="00C52336" w14:paraId="46B23CFE" w14:textId="77777777" w:rsidTr="00C52336">
        <w:tc>
          <w:tcPr>
            <w:tcW w:w="9270" w:type="dxa"/>
            <w:vAlign w:val="center"/>
            <w:hideMark/>
          </w:tcPr>
          <w:p w14:paraId="480D70EE" w14:textId="77777777" w:rsidR="00C52336" w:rsidRPr="00C52336" w:rsidRDefault="00C52336" w:rsidP="00C52336">
            <w:pPr>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i/>
                <w:iCs/>
                <w:color w:val="000000"/>
                <w:kern w:val="0"/>
                <w:lang w:eastAsia="en-CA"/>
                <w14:ligatures w14:val="none"/>
              </w:rPr>
              <w:t>3. The Department of Energy’s DIII-D National Fusion Facility in San Diego, operated by General Atomics, is the largest fusion research center in the U.S. Researchers at DIII-D primarily explore the scientific basis for the tokamak approach to fusion energy. Courtesy: General Atomics</w:t>
            </w:r>
          </w:p>
        </w:tc>
      </w:tr>
    </w:tbl>
    <w:p w14:paraId="3C8179A8" w14:textId="77777777" w:rsidR="003E4AF0" w:rsidRDefault="003E4AF0" w:rsidP="00C52336">
      <w:pPr>
        <w:shd w:val="clear" w:color="auto" w:fill="FFFFFF"/>
        <w:spacing w:after="100" w:afterAutospacing="1" w:line="240" w:lineRule="auto"/>
        <w:rPr>
          <w:rFonts w:eastAsia="Times New Roman" w:cstheme="minorHAnsi"/>
          <w:color w:val="000000"/>
          <w:kern w:val="0"/>
          <w:lang w:eastAsia="en-CA"/>
          <w14:ligatures w14:val="none"/>
        </w:rPr>
      </w:pPr>
    </w:p>
    <w:p w14:paraId="3EDAB0A5" w14:textId="326CFBC4"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3E4AF0">
        <w:rPr>
          <w:rFonts w:eastAsia="Times New Roman" w:cstheme="minorHAnsi"/>
          <w:color w:val="000000"/>
          <w:kern w:val="0"/>
          <w:highlight w:val="yellow"/>
          <w:lang w:eastAsia="en-CA"/>
          <w14:ligatures w14:val="none"/>
        </w:rPr>
        <w:t>The diversity of investors is also striking.</w:t>
      </w:r>
      <w:r w:rsidRPr="00C52336">
        <w:rPr>
          <w:rFonts w:eastAsia="Times New Roman" w:cstheme="minorHAnsi"/>
          <w:color w:val="000000"/>
          <w:kern w:val="0"/>
          <w:lang w:eastAsia="en-CA"/>
          <w14:ligatures w14:val="none"/>
        </w:rPr>
        <w:t xml:space="preserve"> They include individuals like </w:t>
      </w:r>
      <w:r w:rsidRPr="003E4AF0">
        <w:rPr>
          <w:rFonts w:eastAsia="Times New Roman" w:cstheme="minorHAnsi"/>
          <w:color w:val="000000"/>
          <w:kern w:val="0"/>
          <w:highlight w:val="yellow"/>
          <w:lang w:eastAsia="en-CA"/>
          <w14:ligatures w14:val="none"/>
        </w:rPr>
        <w:t>Bill Gates</w:t>
      </w:r>
      <w:r w:rsidRPr="00C52336">
        <w:rPr>
          <w:rFonts w:eastAsia="Times New Roman" w:cstheme="minorHAnsi"/>
          <w:color w:val="000000"/>
          <w:kern w:val="0"/>
          <w:lang w:eastAsia="en-CA"/>
          <w14:ligatures w14:val="none"/>
        </w:rPr>
        <w:t xml:space="preserve"> and </w:t>
      </w:r>
      <w:r w:rsidRPr="003E4AF0">
        <w:rPr>
          <w:rFonts w:eastAsia="Times New Roman" w:cstheme="minorHAnsi"/>
          <w:color w:val="000000"/>
          <w:kern w:val="0"/>
          <w:highlight w:val="yellow"/>
          <w:lang w:eastAsia="en-CA"/>
          <w14:ligatures w14:val="none"/>
        </w:rPr>
        <w:t>Jeff Bezos</w:t>
      </w:r>
      <w:r w:rsidRPr="00C52336">
        <w:rPr>
          <w:rFonts w:eastAsia="Times New Roman" w:cstheme="minorHAnsi"/>
          <w:color w:val="000000"/>
          <w:kern w:val="0"/>
          <w:lang w:eastAsia="en-CA"/>
          <w14:ligatures w14:val="none"/>
        </w:rPr>
        <w:t xml:space="preserve">, prominent VC firms like </w:t>
      </w:r>
      <w:r w:rsidRPr="003E4AF0">
        <w:rPr>
          <w:rFonts w:eastAsia="Times New Roman" w:cstheme="minorHAnsi"/>
          <w:color w:val="000000"/>
          <w:kern w:val="0"/>
          <w:highlight w:val="yellow"/>
          <w:lang w:eastAsia="en-CA"/>
          <w14:ligatures w14:val="none"/>
        </w:rPr>
        <w:t>Breakthrough Energy Ventures</w:t>
      </w:r>
      <w:r w:rsidRPr="00C52336">
        <w:rPr>
          <w:rFonts w:eastAsia="Times New Roman" w:cstheme="minorHAnsi"/>
          <w:color w:val="000000"/>
          <w:kern w:val="0"/>
          <w:lang w:eastAsia="en-CA"/>
          <w14:ligatures w14:val="none"/>
        </w:rPr>
        <w:t xml:space="preserve"> and </w:t>
      </w:r>
      <w:r w:rsidRPr="003E4AF0">
        <w:rPr>
          <w:rFonts w:eastAsia="Times New Roman" w:cstheme="minorHAnsi"/>
          <w:color w:val="000000"/>
          <w:kern w:val="0"/>
          <w:highlight w:val="yellow"/>
          <w:lang w:eastAsia="en-CA"/>
          <w14:ligatures w14:val="none"/>
        </w:rPr>
        <w:t>Y Combinator</w:t>
      </w:r>
      <w:r w:rsidRPr="00C52336">
        <w:rPr>
          <w:rFonts w:eastAsia="Times New Roman" w:cstheme="minorHAnsi"/>
          <w:color w:val="000000"/>
          <w:kern w:val="0"/>
          <w:lang w:eastAsia="en-CA"/>
          <w14:ligatures w14:val="none"/>
        </w:rPr>
        <w:t xml:space="preserve">, tech firms such as </w:t>
      </w:r>
      <w:r w:rsidRPr="003E4AF0">
        <w:rPr>
          <w:rFonts w:eastAsia="Times New Roman" w:cstheme="minorHAnsi"/>
          <w:color w:val="000000"/>
          <w:kern w:val="0"/>
          <w:highlight w:val="yellow"/>
          <w:lang w:eastAsia="en-CA"/>
          <w14:ligatures w14:val="none"/>
        </w:rPr>
        <w:t>Google, sovereign wealth funds</w:t>
      </w:r>
      <w:r w:rsidRPr="00C52336">
        <w:rPr>
          <w:rFonts w:eastAsia="Times New Roman" w:cstheme="minorHAnsi"/>
          <w:color w:val="000000"/>
          <w:kern w:val="0"/>
          <w:lang w:eastAsia="en-CA"/>
          <w14:ligatures w14:val="none"/>
        </w:rPr>
        <w:t xml:space="preserve">, and even fossil fuel companies like </w:t>
      </w:r>
      <w:r w:rsidRPr="003E4AF0">
        <w:rPr>
          <w:rFonts w:eastAsia="Times New Roman" w:cstheme="minorHAnsi"/>
          <w:color w:val="000000"/>
          <w:kern w:val="0"/>
          <w:highlight w:val="yellow"/>
          <w:lang w:eastAsia="en-CA"/>
          <w14:ligatures w14:val="none"/>
        </w:rPr>
        <w:t>Shell and Chevron</w:t>
      </w:r>
      <w:r w:rsidR="003E4AF0">
        <w:rPr>
          <w:rFonts w:eastAsia="Times New Roman" w:cstheme="minorHAnsi"/>
          <w:color w:val="000000"/>
          <w:kern w:val="0"/>
          <w:lang w:eastAsia="en-CA"/>
          <w14:ligatures w14:val="none"/>
        </w:rPr>
        <w:t xml:space="preserve"> </w:t>
      </w:r>
      <w:r w:rsidR="003E4AF0" w:rsidRPr="00006832">
        <w:rPr>
          <w:rFonts w:eastAsia="Times New Roman" w:cstheme="minorHAnsi"/>
          <w:b/>
          <w:bCs/>
          <w:color w:val="00B050"/>
          <w:kern w:val="0"/>
          <w:lang w:eastAsia="en-CA"/>
          <w14:ligatures w14:val="none"/>
        </w:rPr>
        <w:t>[Cenovus]</w:t>
      </w:r>
      <w:r w:rsidRPr="00C52336">
        <w:rPr>
          <w:rFonts w:eastAsia="Times New Roman" w:cstheme="minorHAnsi"/>
          <w:color w:val="000000"/>
          <w:kern w:val="0"/>
          <w:lang w:eastAsia="en-CA"/>
          <w14:ligatures w14:val="none"/>
        </w:rPr>
        <w:t>. This degree of confidence in fusion is remarkable given where the industry stood just five years ago.</w:t>
      </w:r>
    </w:p>
    <w:p w14:paraId="66B771A5"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investments are not equally distributed, however. Though the number of private fusion firms has also surged, only seven of them report total funding of more than $200 million, and </w:t>
      </w:r>
      <w:r w:rsidRPr="00006832">
        <w:rPr>
          <w:rFonts w:eastAsia="Times New Roman" w:cstheme="minorHAnsi"/>
          <w:color w:val="000000"/>
          <w:kern w:val="0"/>
          <w:highlight w:val="yellow"/>
          <w:lang w:eastAsia="en-CA"/>
          <w14:ligatures w14:val="none"/>
        </w:rPr>
        <w:t>the large majority of new investment in 2022 went to just two firms, </w:t>
      </w:r>
      <w:hyperlink r:id="rId11" w:tgtFrame="_blank" w:history="1">
        <w:r w:rsidRPr="00006832">
          <w:rPr>
            <w:rFonts w:eastAsia="Times New Roman" w:cstheme="minorHAnsi"/>
            <w:color w:val="03548D"/>
            <w:kern w:val="0"/>
            <w:highlight w:val="yellow"/>
            <w:lang w:eastAsia="en-CA"/>
            <w14:ligatures w14:val="none"/>
          </w:rPr>
          <w:t>Commonwealth Fusion Systems (CFS) in Cambridge, Massachusetts</w:t>
        </w:r>
      </w:hyperlink>
      <w:r w:rsidRPr="00006832">
        <w:rPr>
          <w:rFonts w:eastAsia="Times New Roman" w:cstheme="minorHAnsi"/>
          <w:color w:val="000000"/>
          <w:kern w:val="0"/>
          <w:highlight w:val="yellow"/>
          <w:lang w:eastAsia="en-CA"/>
          <w14:ligatures w14:val="none"/>
        </w:rPr>
        <w:t>, and Everett, Washington–based Helion Energy.</w:t>
      </w:r>
    </w:p>
    <w:p w14:paraId="268FC0A0"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CFS leading the funding race is not surprising, as it claims to be the closest to building a net-energy magnetic fusion device, a </w:t>
      </w:r>
      <w:hyperlink r:id="rId12" w:tgtFrame="_blank" w:history="1">
        <w:r w:rsidRPr="00006832">
          <w:rPr>
            <w:rFonts w:eastAsia="Times New Roman" w:cstheme="minorHAnsi"/>
            <w:color w:val="03548D"/>
            <w:kern w:val="0"/>
            <w:highlight w:val="yellow"/>
            <w:lang w:eastAsia="en-CA"/>
            <w14:ligatures w14:val="none"/>
          </w:rPr>
          <w:t>tokamak called SPARC</w:t>
        </w:r>
      </w:hyperlink>
      <w:r w:rsidRPr="00006832">
        <w:rPr>
          <w:rFonts w:eastAsia="Times New Roman" w:cstheme="minorHAnsi"/>
          <w:color w:val="000000"/>
          <w:kern w:val="0"/>
          <w:highlight w:val="yellow"/>
          <w:lang w:eastAsia="en-CA"/>
          <w14:ligatures w14:val="none"/>
        </w:rPr>
        <w:t>.</w:t>
      </w:r>
      <w:r w:rsidRPr="00C52336">
        <w:rPr>
          <w:rFonts w:eastAsia="Times New Roman" w:cstheme="minorHAnsi"/>
          <w:color w:val="000000"/>
          <w:kern w:val="0"/>
          <w:lang w:eastAsia="en-CA"/>
          <w14:ligatures w14:val="none"/>
        </w:rPr>
        <w:t xml:space="preserve"> In 2021, CFS completed a </w:t>
      </w:r>
      <w:r w:rsidRPr="00006832">
        <w:rPr>
          <w:rFonts w:eastAsia="Times New Roman" w:cstheme="minorHAnsi"/>
          <w:color w:val="000000"/>
          <w:kern w:val="0"/>
          <w:highlight w:val="yellow"/>
          <w:lang w:eastAsia="en-CA"/>
          <w14:ligatures w14:val="none"/>
        </w:rPr>
        <w:t>prototype high-temperature superconducting magnet for SPARC that achieved a peak field strength of 20 Tesla.</w:t>
      </w:r>
    </w:p>
    <w:p w14:paraId="73DD935D"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SPARC device, a collaboration between CFS and the Massachusetts Institute of Technology, will have </w:t>
      </w:r>
      <w:r w:rsidRPr="00006832">
        <w:rPr>
          <w:rFonts w:eastAsia="Times New Roman" w:cstheme="minorHAnsi"/>
          <w:color w:val="000000"/>
          <w:kern w:val="0"/>
          <w:highlight w:val="yellow"/>
          <w:lang w:eastAsia="en-CA"/>
          <w14:ligatures w14:val="none"/>
        </w:rPr>
        <w:t>18 similar magnets</w:t>
      </w:r>
      <w:r w:rsidRPr="00C52336">
        <w:rPr>
          <w:rFonts w:eastAsia="Times New Roman" w:cstheme="minorHAnsi"/>
          <w:color w:val="000000"/>
          <w:kern w:val="0"/>
          <w:lang w:eastAsia="en-CA"/>
          <w14:ligatures w14:val="none"/>
        </w:rPr>
        <w:t xml:space="preserve">. SPARC is currently under construction at a site outside Boston, </w:t>
      </w:r>
      <w:r w:rsidRPr="00006832">
        <w:rPr>
          <w:rFonts w:eastAsia="Times New Roman" w:cstheme="minorHAnsi"/>
          <w:color w:val="000000"/>
          <w:kern w:val="0"/>
          <w:highlight w:val="yellow"/>
          <w:lang w:eastAsia="en-CA"/>
          <w14:ligatures w14:val="none"/>
        </w:rPr>
        <w:t>with initial operations planned for 2025</w:t>
      </w:r>
      <w:r w:rsidRPr="00C52336">
        <w:rPr>
          <w:rFonts w:eastAsia="Times New Roman" w:cstheme="minorHAnsi"/>
          <w:color w:val="000000"/>
          <w:kern w:val="0"/>
          <w:lang w:eastAsia="en-CA"/>
          <w14:ligatures w14:val="none"/>
        </w:rPr>
        <w:t xml:space="preserve"> (Figure 4). CFS predicts that SPARC will achieve net energy shortly thereafter.</w:t>
      </w:r>
    </w:p>
    <w:tbl>
      <w:tblPr>
        <w:tblW w:w="9270" w:type="dxa"/>
        <w:tblCellMar>
          <w:top w:w="15" w:type="dxa"/>
          <w:left w:w="15" w:type="dxa"/>
          <w:bottom w:w="15" w:type="dxa"/>
          <w:right w:w="15" w:type="dxa"/>
        </w:tblCellMar>
        <w:tblLook w:val="04A0" w:firstRow="1" w:lastRow="0" w:firstColumn="1" w:lastColumn="0" w:noHBand="0" w:noVBand="1"/>
      </w:tblPr>
      <w:tblGrid>
        <w:gridCol w:w="9270"/>
      </w:tblGrid>
      <w:tr w:rsidR="00C52336" w:rsidRPr="00C52336" w14:paraId="2B20C5D5" w14:textId="77777777" w:rsidTr="00C52336">
        <w:tc>
          <w:tcPr>
            <w:tcW w:w="9270" w:type="dxa"/>
            <w:vAlign w:val="center"/>
            <w:hideMark/>
          </w:tcPr>
          <w:p w14:paraId="166B3D71" w14:textId="77777777" w:rsidR="00C52336" w:rsidRPr="00C52336" w:rsidRDefault="00C52336" w:rsidP="00C52336">
            <w:pPr>
              <w:spacing w:after="0" w:line="240" w:lineRule="auto"/>
              <w:rPr>
                <w:rFonts w:eastAsia="Times New Roman" w:cstheme="minorHAnsi"/>
                <w:kern w:val="0"/>
                <w:lang w:eastAsia="en-CA"/>
                <w14:ligatures w14:val="none"/>
              </w:rPr>
            </w:pPr>
            <w:r w:rsidRPr="00C52336">
              <w:rPr>
                <w:rFonts w:eastAsia="Times New Roman" w:cstheme="minorHAnsi"/>
                <w:noProof/>
                <w:kern w:val="0"/>
                <w:lang w:eastAsia="en-CA"/>
                <w14:ligatures w14:val="none"/>
              </w:rPr>
              <w:drawing>
                <wp:inline distT="0" distB="0" distL="0" distR="0" wp14:anchorId="6246DF18" wp14:editId="1D7E1253">
                  <wp:extent cx="2866849" cy="1909762"/>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0620" cy="1932259"/>
                          </a:xfrm>
                          <a:prstGeom prst="rect">
                            <a:avLst/>
                          </a:prstGeom>
                          <a:noFill/>
                          <a:ln>
                            <a:noFill/>
                          </a:ln>
                        </pic:spPr>
                      </pic:pic>
                    </a:graphicData>
                  </a:graphic>
                </wp:inline>
              </w:drawing>
            </w:r>
          </w:p>
        </w:tc>
      </w:tr>
      <w:tr w:rsidR="00C52336" w:rsidRPr="00C52336" w14:paraId="28A8952E" w14:textId="77777777" w:rsidTr="00C52336">
        <w:tc>
          <w:tcPr>
            <w:tcW w:w="9270" w:type="dxa"/>
            <w:vAlign w:val="center"/>
            <w:hideMark/>
          </w:tcPr>
          <w:p w14:paraId="2352558C" w14:textId="77777777" w:rsidR="00C52336" w:rsidRPr="00C52336" w:rsidRDefault="00C52336" w:rsidP="00C52336">
            <w:pPr>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i/>
                <w:iCs/>
                <w:color w:val="000000"/>
                <w:kern w:val="0"/>
                <w:lang w:eastAsia="en-CA"/>
                <w14:ligatures w14:val="none"/>
              </w:rPr>
              <w:lastRenderedPageBreak/>
              <w:t>4. This September 2022 photo shows the Commonwealth Fusion Systems (CFS) site in Massachusetts, with the partially finished SPARC facility at lower left. Courtesy CFS</w:t>
            </w:r>
          </w:p>
        </w:tc>
      </w:tr>
    </w:tbl>
    <w:p w14:paraId="4EC6A95B" w14:textId="77777777" w:rsidR="00E04E7D" w:rsidRDefault="00E04E7D" w:rsidP="00C52336">
      <w:pPr>
        <w:shd w:val="clear" w:color="auto" w:fill="FFFFFF"/>
        <w:spacing w:after="100" w:afterAutospacing="1" w:line="240" w:lineRule="auto"/>
        <w:rPr>
          <w:rFonts w:eastAsia="Times New Roman" w:cstheme="minorHAnsi"/>
          <w:color w:val="000000"/>
          <w:kern w:val="0"/>
          <w:lang w:eastAsia="en-CA"/>
          <w14:ligatures w14:val="none"/>
        </w:rPr>
      </w:pPr>
    </w:p>
    <w:p w14:paraId="666FDDD3" w14:textId="0F4E6D60"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Despite these advances, </w:t>
      </w:r>
      <w:r w:rsidRPr="00E04E7D">
        <w:rPr>
          <w:rFonts w:eastAsia="Times New Roman" w:cstheme="minorHAnsi"/>
          <w:color w:val="000000"/>
          <w:kern w:val="0"/>
          <w:highlight w:val="yellow"/>
          <w:lang w:eastAsia="en-CA"/>
          <w14:ligatures w14:val="none"/>
        </w:rPr>
        <w:t>the investment market for fusion cooled off in late 2022 and 2023 as sharply rising interest rates reduced investor interest in cutting-edge technology fields like fusion</w:t>
      </w:r>
      <w:r w:rsidRPr="00C52336">
        <w:rPr>
          <w:rFonts w:eastAsia="Times New Roman" w:cstheme="minorHAnsi"/>
          <w:color w:val="000000"/>
          <w:kern w:val="0"/>
          <w:lang w:eastAsia="en-CA"/>
          <w14:ligatures w14:val="none"/>
        </w:rPr>
        <w:t>. At least one fusion firm is reported to have cancelled a planned funding round. Meanwhile, some of the more established firms have begun seeking partnerships with larger companies that could have applications for fusion.</w:t>
      </w:r>
    </w:p>
    <w:p w14:paraId="6C9DD8DE" w14:textId="77777777" w:rsidR="00C52336" w:rsidRPr="00C52336" w:rsidRDefault="00C52336" w:rsidP="00C52336">
      <w:pPr>
        <w:shd w:val="clear" w:color="auto" w:fill="FFFFFF"/>
        <w:spacing w:after="100" w:afterAutospacing="1" w:line="240" w:lineRule="auto"/>
        <w:outlineLvl w:val="1"/>
        <w:rPr>
          <w:rFonts w:eastAsia="Times New Roman" w:cstheme="minorHAnsi"/>
          <w:b/>
          <w:bCs/>
          <w:color w:val="1D3557"/>
          <w:kern w:val="0"/>
          <w:lang w:eastAsia="en-CA"/>
          <w14:ligatures w14:val="none"/>
        </w:rPr>
      </w:pPr>
      <w:r w:rsidRPr="00C52336">
        <w:rPr>
          <w:rFonts w:eastAsia="Times New Roman" w:cstheme="minorHAnsi"/>
          <w:b/>
          <w:bCs/>
          <w:color w:val="1D3557"/>
          <w:kern w:val="0"/>
          <w:lang w:eastAsia="en-CA"/>
          <w14:ligatures w14:val="none"/>
        </w:rPr>
        <w:t>Increased Government Support</w:t>
      </w:r>
    </w:p>
    <w:p w14:paraId="7E95A818"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past several years </w:t>
      </w:r>
      <w:proofErr w:type="gramStart"/>
      <w:r w:rsidRPr="00C52336">
        <w:rPr>
          <w:rFonts w:eastAsia="Times New Roman" w:cstheme="minorHAnsi"/>
          <w:color w:val="000000"/>
          <w:kern w:val="0"/>
          <w:lang w:eastAsia="en-CA"/>
          <w14:ligatures w14:val="none"/>
        </w:rPr>
        <w:t>have</w:t>
      </w:r>
      <w:proofErr w:type="gramEnd"/>
      <w:r w:rsidRPr="00C52336">
        <w:rPr>
          <w:rFonts w:eastAsia="Times New Roman" w:cstheme="minorHAnsi"/>
          <w:color w:val="000000"/>
          <w:kern w:val="0"/>
          <w:lang w:eastAsia="en-CA"/>
          <w14:ligatures w14:val="none"/>
        </w:rPr>
        <w:t xml:space="preserve"> also seen a dramatic increase in government attention to fusion energy, though the genesis of this process came in the 2010s. In 2018, the DOE, through its </w:t>
      </w:r>
      <w:r w:rsidRPr="00E04E7D">
        <w:rPr>
          <w:rFonts w:eastAsia="Times New Roman" w:cstheme="minorHAnsi"/>
          <w:color w:val="000000"/>
          <w:kern w:val="0"/>
          <w:highlight w:val="yellow"/>
          <w:lang w:eastAsia="en-CA"/>
          <w14:ligatures w14:val="none"/>
        </w:rPr>
        <w:t>Fusion Energy Sciences Advisory Committee (FESAC)</w:t>
      </w:r>
      <w:r w:rsidRPr="00C52336">
        <w:rPr>
          <w:rFonts w:eastAsia="Times New Roman" w:cstheme="minorHAnsi"/>
          <w:color w:val="000000"/>
          <w:kern w:val="0"/>
          <w:lang w:eastAsia="en-CA"/>
          <w14:ligatures w14:val="none"/>
        </w:rPr>
        <w:t xml:space="preserve">, set in motion </w:t>
      </w:r>
      <w:r w:rsidRPr="00E04E7D">
        <w:rPr>
          <w:rFonts w:eastAsia="Times New Roman" w:cstheme="minorHAnsi"/>
          <w:color w:val="000000"/>
          <w:kern w:val="0"/>
          <w:highlight w:val="yellow"/>
          <w:lang w:eastAsia="en-CA"/>
          <w14:ligatures w14:val="none"/>
        </w:rPr>
        <w:t>a roadmap to develop a strategic plan for its fusion energy activities.</w:t>
      </w:r>
    </w:p>
    <w:p w14:paraId="4E5E8CD7" w14:textId="51C7CCF1"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plan that emerged in late 2020 called for the U.S. (among other recommendations) to begin a design and development process that would place the first pilot fusion power plant (FPP) on the grid no later than the 2040s. </w:t>
      </w:r>
      <w:r w:rsidRPr="00615712">
        <w:rPr>
          <w:rFonts w:eastAsia="Times New Roman" w:cstheme="minorHAnsi"/>
          <w:color w:val="000000"/>
          <w:kern w:val="0"/>
          <w:highlight w:val="yellow"/>
          <w:lang w:eastAsia="en-CA"/>
          <w14:ligatures w14:val="none"/>
        </w:rPr>
        <w:t>Because of the wide range of scientific, engineering, and sociopolitical challenges this would implicate</w:t>
      </w:r>
      <w:r w:rsidRPr="00C52336">
        <w:rPr>
          <w:rFonts w:eastAsia="Times New Roman" w:cstheme="minorHAnsi"/>
          <w:color w:val="000000"/>
          <w:kern w:val="0"/>
          <w:lang w:eastAsia="en-CA"/>
          <w14:ligatures w14:val="none"/>
        </w:rPr>
        <w:t xml:space="preserve">, the plan envisioned a </w:t>
      </w:r>
      <w:r w:rsidRPr="00615712">
        <w:rPr>
          <w:rFonts w:eastAsia="Times New Roman" w:cstheme="minorHAnsi"/>
          <w:color w:val="000000"/>
          <w:kern w:val="0"/>
          <w:highlight w:val="green"/>
          <w:lang w:eastAsia="en-CA"/>
          <w14:ligatures w14:val="none"/>
        </w:rPr>
        <w:t>large-scale collaborative effort across government, academia, and industry.</w:t>
      </w:r>
      <w:r w:rsidR="00615712">
        <w:rPr>
          <w:rFonts w:eastAsia="Times New Roman" w:cstheme="minorHAnsi"/>
          <w:color w:val="000000"/>
          <w:kern w:val="0"/>
          <w:lang w:eastAsia="en-CA"/>
          <w14:ligatures w14:val="none"/>
        </w:rPr>
        <w:t xml:space="preserve"> </w:t>
      </w:r>
      <w:r w:rsidR="00B8227E" w:rsidRPr="000B0CF4">
        <w:rPr>
          <w:rFonts w:eastAsia="Times New Roman" w:cstheme="minorHAnsi"/>
          <w:b/>
          <w:bCs/>
          <w:color w:val="00B050"/>
          <w:kern w:val="0"/>
          <w:lang w:eastAsia="en-CA"/>
          <w14:ligatures w14:val="none"/>
        </w:rPr>
        <w:t xml:space="preserve">[reference 4 scenarios developed by </w:t>
      </w:r>
      <w:proofErr w:type="spellStart"/>
      <w:r w:rsidR="00B8227E" w:rsidRPr="000B0CF4">
        <w:rPr>
          <w:rFonts w:eastAsia="Times New Roman" w:cstheme="minorHAnsi"/>
          <w:b/>
          <w:bCs/>
          <w:color w:val="00B050"/>
          <w:kern w:val="0"/>
          <w:lang w:eastAsia="en-CA"/>
          <w14:ligatures w14:val="none"/>
        </w:rPr>
        <w:t>UERO</w:t>
      </w:r>
      <w:r w:rsidR="000B0CF4" w:rsidRPr="000B0CF4">
        <w:rPr>
          <w:rFonts w:eastAsia="Times New Roman" w:cstheme="minorHAnsi"/>
          <w:b/>
          <w:bCs/>
          <w:color w:val="00B050"/>
          <w:kern w:val="0"/>
          <w:lang w:eastAsia="en-CA"/>
          <w14:ligatures w14:val="none"/>
        </w:rPr>
        <w:t>fusion</w:t>
      </w:r>
      <w:proofErr w:type="spellEnd"/>
      <w:r w:rsidR="000B0CF4" w:rsidRPr="000B0CF4">
        <w:rPr>
          <w:rFonts w:eastAsia="Times New Roman" w:cstheme="minorHAnsi"/>
          <w:b/>
          <w:bCs/>
          <w:color w:val="00B050"/>
          <w:kern w:val="0"/>
          <w:lang w:eastAsia="en-CA"/>
          <w14:ligatures w14:val="none"/>
        </w:rPr>
        <w:t>]</w:t>
      </w:r>
    </w:p>
    <w:p w14:paraId="1C4DF225"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FESAC plan was followed in early 2021 by another report—also requested by the DOE—from the U.S. National Academies of Sciences, Engineering, and Medicine (NASEM). That report called for a similar effort that would deliver an operating FPP in </w:t>
      </w:r>
      <w:r w:rsidRPr="000B0CF4">
        <w:rPr>
          <w:rFonts w:eastAsia="Times New Roman" w:cstheme="minorHAnsi"/>
          <w:color w:val="000000"/>
          <w:kern w:val="0"/>
          <w:highlight w:val="yellow"/>
          <w:lang w:eastAsia="en-CA"/>
          <w14:ligatures w14:val="none"/>
        </w:rPr>
        <w:t>the 2035–2040 timeframe</w:t>
      </w:r>
      <w:r w:rsidRPr="00C52336">
        <w:rPr>
          <w:rFonts w:eastAsia="Times New Roman" w:cstheme="minorHAnsi"/>
          <w:color w:val="000000"/>
          <w:kern w:val="0"/>
          <w:lang w:eastAsia="en-CA"/>
          <w14:ligatures w14:val="none"/>
        </w:rPr>
        <w:t>. It also recommended that the DOE move forward in forming and funding public-private partnerships to develop conceptual and engineering designs that could bring fusion to commercial viability. The NASEM report was notable in that it engaged the electric utility industry and the Nuclear Energy Institute, while also involving several nuclear utilities in the report work.</w:t>
      </w:r>
    </w:p>
    <w:p w14:paraId="754F2757"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Then, in March 2022, the Biden administration held a White House summit on fusion energy that was attended by a wide range of representatives from the public and private fusion communities. At the summit, the administration announced that it was developing “</w:t>
      </w:r>
      <w:r w:rsidRPr="000B0CF4">
        <w:rPr>
          <w:rFonts w:eastAsia="Times New Roman" w:cstheme="minorHAnsi"/>
          <w:color w:val="000000"/>
          <w:kern w:val="0"/>
          <w:highlight w:val="yellow"/>
          <w:lang w:eastAsia="en-CA"/>
          <w14:ligatures w14:val="none"/>
        </w:rPr>
        <w:t>a bold decadal vision to accelerate fusion</w:t>
      </w:r>
      <w:r w:rsidRPr="00C52336">
        <w:rPr>
          <w:rFonts w:eastAsia="Times New Roman" w:cstheme="minorHAnsi"/>
          <w:color w:val="000000"/>
          <w:kern w:val="0"/>
          <w:lang w:eastAsia="en-CA"/>
          <w14:ligatures w14:val="none"/>
        </w:rPr>
        <w:t>” and make it a key part of the path to net-zero emissions by 2050.</w:t>
      </w:r>
    </w:p>
    <w:p w14:paraId="78A533C1"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Secretary of Energy Jennifer Granholm said at the time, “We believe we are making great progress, but it’s going to take time to get fusion commercialized. It would be amazing if fusion were a part of what I call the silver buckshot of a clean energy future.”</w:t>
      </w:r>
    </w:p>
    <w:p w14:paraId="74BF7CC1"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9E57CD">
        <w:rPr>
          <w:rFonts w:eastAsia="Times New Roman" w:cstheme="minorHAnsi"/>
          <w:color w:val="000000"/>
          <w:kern w:val="0"/>
          <w:highlight w:val="yellow"/>
          <w:lang w:eastAsia="en-CA"/>
          <w14:ligatures w14:val="none"/>
        </w:rPr>
        <w:t>Congressman Don Beyer (D-Va.), chair of the bipartisan Fusion Energy Caucus</w:t>
      </w:r>
      <w:r w:rsidRPr="00C52336">
        <w:rPr>
          <w:rFonts w:eastAsia="Times New Roman" w:cstheme="minorHAnsi"/>
          <w:color w:val="000000"/>
          <w:kern w:val="0"/>
          <w:lang w:eastAsia="en-CA"/>
          <w14:ligatures w14:val="none"/>
        </w:rPr>
        <w:t xml:space="preserve">, added, “We can successfully forge a path to fusion energy. </w:t>
      </w:r>
      <w:r w:rsidRPr="009E57CD">
        <w:rPr>
          <w:rFonts w:eastAsia="Times New Roman" w:cstheme="minorHAnsi"/>
          <w:color w:val="000000"/>
          <w:kern w:val="0"/>
          <w:highlight w:val="yellow"/>
          <w:lang w:eastAsia="en-CA"/>
          <w14:ligatures w14:val="none"/>
        </w:rPr>
        <w:t>Fusion is the holy grail of clean energy technologies, and fusion has the potential to lift more citizens of the world out of poverty than anything since the invention of fire.</w:t>
      </w:r>
      <w:r w:rsidRPr="00C52336">
        <w:rPr>
          <w:rFonts w:eastAsia="Times New Roman" w:cstheme="minorHAnsi"/>
          <w:color w:val="000000"/>
          <w:kern w:val="0"/>
          <w:lang w:eastAsia="en-CA"/>
          <w14:ligatures w14:val="none"/>
        </w:rPr>
        <w:t xml:space="preserve"> We need a bicameral, bipartisan—in fact, I would argue non-partisan—effort on fusion energy. We can work together to get this done.”</w:t>
      </w:r>
    </w:p>
    <w:p w14:paraId="7121EBE0"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Working from these recommendations, the DOE released a funding opportunity in September 2022 for a milestone-based fusion development program. The milestone program envisioned </w:t>
      </w:r>
      <w:r w:rsidRPr="009E57CD">
        <w:rPr>
          <w:rFonts w:eastAsia="Times New Roman" w:cstheme="minorHAnsi"/>
          <w:color w:val="000000"/>
          <w:kern w:val="0"/>
          <w:highlight w:val="yellow"/>
          <w:lang w:eastAsia="en-CA"/>
          <w14:ligatures w14:val="none"/>
        </w:rPr>
        <w:t>teams composed of private industry, academia, and the U.S. national labs,</w:t>
      </w:r>
      <w:r w:rsidRPr="00C52336">
        <w:rPr>
          <w:rFonts w:eastAsia="Times New Roman" w:cstheme="minorHAnsi"/>
          <w:color w:val="000000"/>
          <w:kern w:val="0"/>
          <w:lang w:eastAsia="en-CA"/>
          <w14:ligatures w14:val="none"/>
        </w:rPr>
        <w:t xml:space="preserve"> with the federal government providing up to 50% cost-share to </w:t>
      </w:r>
      <w:r w:rsidRPr="009E57CD">
        <w:rPr>
          <w:rFonts w:eastAsia="Times New Roman" w:cstheme="minorHAnsi"/>
          <w:color w:val="000000"/>
          <w:kern w:val="0"/>
          <w:highlight w:val="yellow"/>
          <w:lang w:eastAsia="en-CA"/>
          <w14:ligatures w14:val="none"/>
        </w:rPr>
        <w:t>deliver a conceptual design</w:t>
      </w:r>
      <w:r w:rsidRPr="00C52336">
        <w:rPr>
          <w:rFonts w:eastAsia="Times New Roman" w:cstheme="minorHAnsi"/>
          <w:color w:val="000000"/>
          <w:kern w:val="0"/>
          <w:lang w:eastAsia="en-CA"/>
          <w14:ligatures w14:val="none"/>
        </w:rPr>
        <w:t xml:space="preserve"> for an FPP that could begin operation in the 2030s.</w:t>
      </w:r>
    </w:p>
    <w:p w14:paraId="3D62E2A4"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Applications for the program were due in December 2022, and the DOE is expected to make decisions on the winning proposals in the spring of 2023. A survey conducted by the FIA indicates that applications were well </w:t>
      </w:r>
      <w:proofErr w:type="gramStart"/>
      <w:r w:rsidRPr="00C52336">
        <w:rPr>
          <w:rFonts w:eastAsia="Times New Roman" w:cstheme="minorHAnsi"/>
          <w:color w:val="000000"/>
          <w:kern w:val="0"/>
          <w:lang w:eastAsia="en-CA"/>
          <w14:ligatures w14:val="none"/>
        </w:rPr>
        <w:t>in excess of</w:t>
      </w:r>
      <w:proofErr w:type="gramEnd"/>
      <w:r w:rsidRPr="00C52336">
        <w:rPr>
          <w:rFonts w:eastAsia="Times New Roman" w:cstheme="minorHAnsi"/>
          <w:color w:val="000000"/>
          <w:kern w:val="0"/>
          <w:lang w:eastAsia="en-CA"/>
          <w14:ligatures w14:val="none"/>
        </w:rPr>
        <w:t xml:space="preserve"> current appropriations, with as much as $150 million requested from the $50 </w:t>
      </w:r>
      <w:r w:rsidRPr="00C52336">
        <w:rPr>
          <w:rFonts w:eastAsia="Times New Roman" w:cstheme="minorHAnsi"/>
          <w:color w:val="000000"/>
          <w:kern w:val="0"/>
          <w:lang w:eastAsia="en-CA"/>
          <w14:ligatures w14:val="none"/>
        </w:rPr>
        <w:lastRenderedPageBreak/>
        <w:t>million opportunity. Meanwhile, the 2024 White House budget request, released in March, asks for $130 million for the program.</w:t>
      </w:r>
    </w:p>
    <w:p w14:paraId="159D8792"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Overseas, the UK is also moving boldly forward with several similar initiatives. </w:t>
      </w:r>
      <w:r w:rsidRPr="0060222F">
        <w:rPr>
          <w:rFonts w:eastAsia="Times New Roman" w:cstheme="minorHAnsi"/>
          <w:color w:val="000000"/>
          <w:kern w:val="0"/>
          <w:highlight w:val="yellow"/>
          <w:lang w:eastAsia="en-CA"/>
          <w14:ligatures w14:val="none"/>
        </w:rPr>
        <w:t>The first, the Fusion Demonstration Plant (FDP) announced in 2021</w:t>
      </w:r>
      <w:r w:rsidRPr="00C52336">
        <w:rPr>
          <w:rFonts w:eastAsia="Times New Roman" w:cstheme="minorHAnsi"/>
          <w:color w:val="000000"/>
          <w:kern w:val="0"/>
          <w:lang w:eastAsia="en-CA"/>
          <w14:ligatures w14:val="none"/>
        </w:rPr>
        <w:t xml:space="preserve">, </w:t>
      </w:r>
      <w:r w:rsidRPr="0060222F">
        <w:rPr>
          <w:rFonts w:eastAsia="Times New Roman" w:cstheme="minorHAnsi"/>
          <w:color w:val="000000"/>
          <w:kern w:val="0"/>
          <w:highlight w:val="yellow"/>
          <w:lang w:eastAsia="en-CA"/>
          <w14:ligatures w14:val="none"/>
        </w:rPr>
        <w:t>will house a device built by Canadian private fusion</w:t>
      </w:r>
      <w:r w:rsidRPr="00C52336">
        <w:rPr>
          <w:rFonts w:eastAsia="Times New Roman" w:cstheme="minorHAnsi"/>
          <w:color w:val="000000"/>
          <w:kern w:val="0"/>
          <w:lang w:eastAsia="en-CA"/>
          <w14:ligatures w14:val="none"/>
        </w:rPr>
        <w:t xml:space="preserve"> company General Fusion at the </w:t>
      </w:r>
      <w:proofErr w:type="spellStart"/>
      <w:r w:rsidRPr="00C52336">
        <w:rPr>
          <w:rFonts w:eastAsia="Times New Roman" w:cstheme="minorHAnsi"/>
          <w:color w:val="000000"/>
          <w:kern w:val="0"/>
          <w:lang w:eastAsia="en-CA"/>
          <w14:ligatures w14:val="none"/>
        </w:rPr>
        <w:t>Culham</w:t>
      </w:r>
      <w:proofErr w:type="spellEnd"/>
      <w:r w:rsidRPr="00C52336">
        <w:rPr>
          <w:rFonts w:eastAsia="Times New Roman" w:cstheme="minorHAnsi"/>
          <w:color w:val="000000"/>
          <w:kern w:val="0"/>
          <w:lang w:eastAsia="en-CA"/>
          <w14:ligatures w14:val="none"/>
        </w:rPr>
        <w:t xml:space="preserve"> lab site</w:t>
      </w:r>
      <w:r w:rsidRPr="0060222F">
        <w:rPr>
          <w:rFonts w:eastAsia="Times New Roman" w:cstheme="minorHAnsi"/>
          <w:color w:val="000000"/>
          <w:kern w:val="0"/>
          <w:highlight w:val="yellow"/>
          <w:lang w:eastAsia="en-CA"/>
          <w14:ligatures w14:val="none"/>
        </w:rPr>
        <w:t>. General Fusion and UKAEA signed a cooperative agreement in 2022</w:t>
      </w:r>
      <w:r w:rsidRPr="00C52336">
        <w:rPr>
          <w:rFonts w:eastAsia="Times New Roman" w:cstheme="minorHAnsi"/>
          <w:color w:val="000000"/>
          <w:kern w:val="0"/>
          <w:lang w:eastAsia="en-CA"/>
          <w14:ligatures w14:val="none"/>
        </w:rPr>
        <w:t xml:space="preserve"> to advance a range of fusion technologies at </w:t>
      </w:r>
      <w:proofErr w:type="spellStart"/>
      <w:r w:rsidRPr="00C52336">
        <w:rPr>
          <w:rFonts w:eastAsia="Times New Roman" w:cstheme="minorHAnsi"/>
          <w:color w:val="000000"/>
          <w:kern w:val="0"/>
          <w:lang w:eastAsia="en-CA"/>
          <w14:ligatures w14:val="none"/>
        </w:rPr>
        <w:t>Culham</w:t>
      </w:r>
      <w:proofErr w:type="spellEnd"/>
      <w:r w:rsidRPr="00C52336">
        <w:rPr>
          <w:rFonts w:eastAsia="Times New Roman" w:cstheme="minorHAnsi"/>
          <w:color w:val="000000"/>
          <w:kern w:val="0"/>
          <w:lang w:eastAsia="en-CA"/>
          <w14:ligatures w14:val="none"/>
        </w:rPr>
        <w:t>, and construction of the FDP is expected to begin later in 2023.</w:t>
      </w:r>
    </w:p>
    <w:p w14:paraId="5766A548"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A second, more ambitious program, the </w:t>
      </w:r>
      <w:hyperlink r:id="rId14" w:tgtFrame="_blank" w:history="1">
        <w:r w:rsidRPr="0060222F">
          <w:rPr>
            <w:rFonts w:eastAsia="Times New Roman" w:cstheme="minorHAnsi"/>
            <w:color w:val="03548D"/>
            <w:kern w:val="0"/>
            <w:highlight w:val="yellow"/>
            <w:lang w:eastAsia="en-CA"/>
            <w14:ligatures w14:val="none"/>
          </w:rPr>
          <w:t>Spherical Tokamak for Energy Production (STEP)</w:t>
        </w:r>
      </w:hyperlink>
      <w:r w:rsidRPr="00C52336">
        <w:rPr>
          <w:rFonts w:eastAsia="Times New Roman" w:cstheme="minorHAnsi"/>
          <w:color w:val="000000"/>
          <w:kern w:val="0"/>
          <w:lang w:eastAsia="en-CA"/>
          <w14:ligatures w14:val="none"/>
        </w:rPr>
        <w:t xml:space="preserve">, is being led by UKAEA. The program is intended to demonstrate net electricity from fusion, develop operational and maintenance data, and demonstrate potential to breed tritium for fuel. Unlike JET and ITER, which use conventional tokamak plasmas, STEP will be a spherical tokamak. This shape is thought to potentially improve efficiency of the magnetic field and reduce plant cost. </w:t>
      </w:r>
      <w:r w:rsidRPr="00377EF3">
        <w:rPr>
          <w:rFonts w:eastAsia="Times New Roman" w:cstheme="minorHAnsi"/>
          <w:color w:val="000000"/>
          <w:kern w:val="0"/>
          <w:highlight w:val="yellow"/>
          <w:lang w:eastAsia="en-CA"/>
          <w14:ligatures w14:val="none"/>
        </w:rPr>
        <w:t>A </w:t>
      </w:r>
      <w:hyperlink r:id="rId15" w:tgtFrame="_blank" w:history="1">
        <w:r w:rsidRPr="00377EF3">
          <w:rPr>
            <w:rFonts w:eastAsia="Times New Roman" w:cstheme="minorHAnsi"/>
            <w:color w:val="03548D"/>
            <w:kern w:val="0"/>
            <w:highlight w:val="yellow"/>
            <w:lang w:eastAsia="en-CA"/>
            <w14:ligatures w14:val="none"/>
          </w:rPr>
          <w:t>site for STEP has been selected in northeast England</w:t>
        </w:r>
      </w:hyperlink>
      <w:r w:rsidRPr="00377EF3">
        <w:rPr>
          <w:rFonts w:eastAsia="Times New Roman" w:cstheme="minorHAnsi"/>
          <w:color w:val="000000"/>
          <w:kern w:val="0"/>
          <w:highlight w:val="yellow"/>
          <w:lang w:eastAsia="en-CA"/>
          <w14:ligatures w14:val="none"/>
        </w:rPr>
        <w:t>, and the first phase of the program</w:t>
      </w:r>
      <w:r w:rsidRPr="00C52336">
        <w:rPr>
          <w:rFonts w:eastAsia="Times New Roman" w:cstheme="minorHAnsi"/>
          <w:color w:val="000000"/>
          <w:kern w:val="0"/>
          <w:lang w:eastAsia="en-CA"/>
          <w14:ligatures w14:val="none"/>
        </w:rPr>
        <w:t xml:space="preserve"> is underway with the goal of producing a conceptual design by 2024.</w:t>
      </w:r>
    </w:p>
    <w:p w14:paraId="17DFB2AB"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Meanwhile, in China, </w:t>
      </w:r>
      <w:proofErr w:type="gramStart"/>
      <w:r w:rsidRPr="00C52336">
        <w:rPr>
          <w:rFonts w:eastAsia="Times New Roman" w:cstheme="minorHAnsi"/>
          <w:color w:val="000000"/>
          <w:kern w:val="0"/>
          <w:lang w:eastAsia="en-CA"/>
          <w14:ligatures w14:val="none"/>
        </w:rPr>
        <w:t>design</w:t>
      </w:r>
      <w:proofErr w:type="gramEnd"/>
      <w:r w:rsidRPr="00C52336">
        <w:rPr>
          <w:rFonts w:eastAsia="Times New Roman" w:cstheme="minorHAnsi"/>
          <w:color w:val="000000"/>
          <w:kern w:val="0"/>
          <w:lang w:eastAsia="en-CA"/>
          <w14:ligatures w14:val="none"/>
        </w:rPr>
        <w:t xml:space="preserve"> and engineering work on the </w:t>
      </w:r>
      <w:r w:rsidRPr="00377EF3">
        <w:rPr>
          <w:rFonts w:eastAsia="Times New Roman" w:cstheme="minorHAnsi"/>
          <w:color w:val="000000"/>
          <w:kern w:val="0"/>
          <w:highlight w:val="yellow"/>
          <w:lang w:eastAsia="en-CA"/>
          <w14:ligatures w14:val="none"/>
        </w:rPr>
        <w:t>Chinese Fusion Engineering Test Reactor (CFETR)</w:t>
      </w:r>
      <w:r w:rsidRPr="00C52336">
        <w:rPr>
          <w:rFonts w:eastAsia="Times New Roman" w:cstheme="minorHAnsi"/>
          <w:color w:val="000000"/>
          <w:kern w:val="0"/>
          <w:lang w:eastAsia="en-CA"/>
          <w14:ligatures w14:val="none"/>
        </w:rPr>
        <w:t xml:space="preserve"> has continued, with recent papers and presentations suggesting that Chinese researchers have made significant progress toward construction and operation. CFETR is the largest currently planned fusion pilot plant, </w:t>
      </w:r>
      <w:r w:rsidRPr="00377EF3">
        <w:rPr>
          <w:rFonts w:eastAsia="Times New Roman" w:cstheme="minorHAnsi"/>
          <w:color w:val="000000"/>
          <w:kern w:val="0"/>
          <w:highlight w:val="yellow"/>
          <w:lang w:eastAsia="en-CA"/>
          <w14:ligatures w14:val="none"/>
        </w:rPr>
        <w:t>with a projected thermal output of 2 GW (electric output will likely be around 500 MW). Full operation is planned for 2035.</w:t>
      </w:r>
    </w:p>
    <w:p w14:paraId="7BD61918" w14:textId="77777777" w:rsidR="00C52336" w:rsidRPr="00C52336" w:rsidRDefault="00C52336" w:rsidP="00C52336">
      <w:pPr>
        <w:shd w:val="clear" w:color="auto" w:fill="FFFFFF"/>
        <w:spacing w:after="100" w:afterAutospacing="1" w:line="240" w:lineRule="auto"/>
        <w:outlineLvl w:val="1"/>
        <w:rPr>
          <w:rFonts w:eastAsia="Times New Roman" w:cstheme="minorHAnsi"/>
          <w:b/>
          <w:bCs/>
          <w:color w:val="1D3557"/>
          <w:kern w:val="0"/>
          <w:lang w:eastAsia="en-CA"/>
          <w14:ligatures w14:val="none"/>
        </w:rPr>
      </w:pPr>
      <w:r w:rsidRPr="00C52336">
        <w:rPr>
          <w:rFonts w:eastAsia="Times New Roman" w:cstheme="minorHAnsi"/>
          <w:b/>
          <w:bCs/>
          <w:color w:val="1D3557"/>
          <w:kern w:val="0"/>
          <w:lang w:eastAsia="en-CA"/>
          <w14:ligatures w14:val="none"/>
        </w:rPr>
        <w:t>Regulatory Challenges</w:t>
      </w:r>
    </w:p>
    <w:p w14:paraId="5F8D98CA"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Beyond the engineering and financial issues, fusion will also need a regulatory framework. Under the Atomic Energy Act, the Nuclear Regulatory Commission (NRC) has jurisdiction over fusion. However, </w:t>
      </w:r>
      <w:r w:rsidRPr="00377EF3">
        <w:rPr>
          <w:rFonts w:eastAsia="Times New Roman" w:cstheme="minorHAnsi"/>
          <w:color w:val="000000"/>
          <w:kern w:val="0"/>
          <w:highlight w:val="yellow"/>
          <w:lang w:eastAsia="en-CA"/>
          <w14:ligatures w14:val="none"/>
        </w:rPr>
        <w:t>both the industry and NRC agree that the current framework designed for fission reactors is not appropriate for fusion power plants.</w:t>
      </w:r>
    </w:p>
    <w:p w14:paraId="562B6CF3"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Congress, via the 2019 Nuclear Energy Innovation and Modernization Act, has directed the NRC to establish a framework for fusion by the end of 2027. The main question is whether fusion should be regulated under Title 10 Part 53 of the Code of Federal Regulations (10 CFR 53) as a “utilization facility” </w:t>
      </w:r>
      <w:proofErr w:type="gramStart"/>
      <w:r w:rsidRPr="00C52336">
        <w:rPr>
          <w:rFonts w:eastAsia="Times New Roman" w:cstheme="minorHAnsi"/>
          <w:color w:val="000000"/>
          <w:kern w:val="0"/>
          <w:lang w:eastAsia="en-CA"/>
          <w14:ligatures w14:val="none"/>
        </w:rPr>
        <w:t>similar to</w:t>
      </w:r>
      <w:proofErr w:type="gramEnd"/>
      <w:r w:rsidRPr="00C52336">
        <w:rPr>
          <w:rFonts w:eastAsia="Times New Roman" w:cstheme="minorHAnsi"/>
          <w:color w:val="000000"/>
          <w:kern w:val="0"/>
          <w:lang w:eastAsia="en-CA"/>
          <w14:ligatures w14:val="none"/>
        </w:rPr>
        <w:t xml:space="preserve"> fission reactors, under 10 CFR 30 relating to generation of by-product material, or some hybrid of the two. Since fusion energy does not involve the use of any “special nuclear material” (that is, fissionable uranium or plutonium), the industry is nearly unanimous in seeking regulation under the by-product approach. </w:t>
      </w:r>
      <w:r w:rsidRPr="00704C65">
        <w:rPr>
          <w:rFonts w:eastAsia="Times New Roman" w:cstheme="minorHAnsi"/>
          <w:color w:val="000000"/>
          <w:kern w:val="0"/>
          <w:highlight w:val="yellow"/>
          <w:lang w:eastAsia="en-CA"/>
          <w14:ligatures w14:val="none"/>
        </w:rPr>
        <w:t>The source term for fusion is primarily the tritium fuel</w:t>
      </w:r>
      <w:r w:rsidRPr="00C52336">
        <w:rPr>
          <w:rFonts w:eastAsia="Times New Roman" w:cstheme="minorHAnsi"/>
          <w:color w:val="000000"/>
          <w:kern w:val="0"/>
          <w:lang w:eastAsia="en-CA"/>
          <w14:ligatures w14:val="none"/>
        </w:rPr>
        <w:t>, with the remainder being neutron-activated reactor components.</w:t>
      </w:r>
    </w:p>
    <w:p w14:paraId="5AFF91E0"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The NRC has held several meetings and workshops over the past three years to gather information and discuss the issues with industry representatives. In January 2023, NRC staff released a draft assessment recommending the hybrid approach based on 10 CFR 30. Exactly what this will look like is not yet clear, but the fusion industry is cautiously optimistic.</w:t>
      </w:r>
    </w:p>
    <w:p w14:paraId="198C11EC"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Meanwhile, the UKAEA is a few steps ahead of the NRC. In June 2022, the UK government announced that pilot FPPs in the UK will be regulated under the existing framework for fusion research facilities, such as JET, rather than under regulations for fission plants. The actual regulations will be developed via engagement with the industry over the next two to three years.</w:t>
      </w:r>
    </w:p>
    <w:p w14:paraId="2D985284" w14:textId="77777777" w:rsidR="00C52336" w:rsidRPr="00C52336" w:rsidRDefault="00C52336" w:rsidP="00C52336">
      <w:pPr>
        <w:shd w:val="clear" w:color="auto" w:fill="FFFFFF"/>
        <w:spacing w:after="100" w:afterAutospacing="1" w:line="240" w:lineRule="auto"/>
        <w:outlineLvl w:val="1"/>
        <w:rPr>
          <w:rFonts w:eastAsia="Times New Roman" w:cstheme="minorHAnsi"/>
          <w:b/>
          <w:bCs/>
          <w:color w:val="1D3557"/>
          <w:kern w:val="0"/>
          <w:lang w:eastAsia="en-CA"/>
          <w14:ligatures w14:val="none"/>
        </w:rPr>
      </w:pPr>
      <w:r w:rsidRPr="00C52336">
        <w:rPr>
          <w:rFonts w:eastAsia="Times New Roman" w:cstheme="minorHAnsi"/>
          <w:b/>
          <w:bCs/>
          <w:color w:val="1D3557"/>
          <w:kern w:val="0"/>
          <w:lang w:eastAsia="en-CA"/>
          <w14:ligatures w14:val="none"/>
        </w:rPr>
        <w:t>ITER Advances—and Setbacks</w:t>
      </w:r>
    </w:p>
    <w:p w14:paraId="47A26C3E"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The massive </w:t>
      </w:r>
      <w:hyperlink r:id="rId16" w:tgtFrame="_blank" w:history="1">
        <w:r w:rsidRPr="00C52336">
          <w:rPr>
            <w:rFonts w:eastAsia="Times New Roman" w:cstheme="minorHAnsi"/>
            <w:color w:val="03548D"/>
            <w:kern w:val="0"/>
            <w:lang w:eastAsia="en-CA"/>
            <w14:ligatures w14:val="none"/>
          </w:rPr>
          <w:t>ITER experiment under construction in southern France</w:t>
        </w:r>
      </w:hyperlink>
      <w:r w:rsidRPr="00C52336">
        <w:rPr>
          <w:rFonts w:eastAsia="Times New Roman" w:cstheme="minorHAnsi"/>
          <w:color w:val="000000"/>
          <w:kern w:val="0"/>
          <w:lang w:eastAsia="en-CA"/>
          <w14:ligatures w14:val="none"/>
        </w:rPr>
        <w:t xml:space="preserve"> was envisioned as the first fusion device to achieve net energy. Whether or not one of the private fusion companies gets there first, ITER </w:t>
      </w:r>
      <w:r w:rsidRPr="00C52336">
        <w:rPr>
          <w:rFonts w:eastAsia="Times New Roman" w:cstheme="minorHAnsi"/>
          <w:color w:val="000000"/>
          <w:kern w:val="0"/>
          <w:lang w:eastAsia="en-CA"/>
          <w14:ligatures w14:val="none"/>
        </w:rPr>
        <w:lastRenderedPageBreak/>
        <w:t xml:space="preserve">will be a critical resource for </w:t>
      </w:r>
      <w:r w:rsidRPr="00704C65">
        <w:rPr>
          <w:rFonts w:eastAsia="Times New Roman" w:cstheme="minorHAnsi"/>
          <w:color w:val="000000"/>
          <w:kern w:val="0"/>
          <w:highlight w:val="yellow"/>
          <w:lang w:eastAsia="en-CA"/>
          <w14:ligatures w14:val="none"/>
        </w:rPr>
        <w:t>fusion research at reactor scale</w:t>
      </w:r>
      <w:r w:rsidRPr="00C52336">
        <w:rPr>
          <w:rFonts w:eastAsia="Times New Roman" w:cstheme="minorHAnsi"/>
          <w:color w:val="000000"/>
          <w:kern w:val="0"/>
          <w:lang w:eastAsia="en-CA"/>
          <w14:ligatures w14:val="none"/>
        </w:rPr>
        <w:t>. Major construction has continued, with several key milestones reached, and important components successfully completed and delivered.</w:t>
      </w:r>
    </w:p>
    <w:p w14:paraId="3D1F5BA4"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These include several sections of the main vacuum vessel that will contain the fusion plasma, and two of the six modules for the Central Solenoid (CS), the massive electromagnet that will power the fusion reaction. The CS is being manufactured by General Atomics, and the last of six modules should be completed within the next year.</w:t>
      </w:r>
    </w:p>
    <w:p w14:paraId="770B899A"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AD5095">
        <w:rPr>
          <w:rFonts w:eastAsia="Times New Roman" w:cstheme="minorHAnsi"/>
          <w:color w:val="000000"/>
          <w:kern w:val="0"/>
          <w:highlight w:val="yellow"/>
          <w:lang w:eastAsia="en-CA"/>
          <w14:ligatures w14:val="none"/>
        </w:rPr>
        <w:t>Unfortunately, there have also been key setbacks</w:t>
      </w:r>
      <w:r w:rsidRPr="00C52336">
        <w:rPr>
          <w:rFonts w:eastAsia="Times New Roman" w:cstheme="minorHAnsi"/>
          <w:color w:val="000000"/>
          <w:kern w:val="0"/>
          <w:lang w:eastAsia="en-CA"/>
          <w14:ligatures w14:val="none"/>
        </w:rPr>
        <w:t xml:space="preserve">. The COVID-19 pandemic caused a significant slowdown in both site construction and </w:t>
      </w:r>
      <w:r w:rsidRPr="00AD5095">
        <w:rPr>
          <w:rFonts w:eastAsia="Times New Roman" w:cstheme="minorHAnsi"/>
          <w:color w:val="000000"/>
          <w:kern w:val="0"/>
          <w:highlight w:val="yellow"/>
          <w:lang w:eastAsia="en-CA"/>
          <w14:ligatures w14:val="none"/>
        </w:rPr>
        <w:t>component manufacturing</w:t>
      </w:r>
      <w:r w:rsidRPr="00C52336">
        <w:rPr>
          <w:rFonts w:eastAsia="Times New Roman" w:cstheme="minorHAnsi"/>
          <w:color w:val="000000"/>
          <w:kern w:val="0"/>
          <w:lang w:eastAsia="en-CA"/>
          <w14:ligatures w14:val="none"/>
        </w:rPr>
        <w:t xml:space="preserve"> for over a year. Then, in January 2022, the French Nuclear Safety Authority (ASN) </w:t>
      </w:r>
      <w:r w:rsidRPr="00831E1D">
        <w:rPr>
          <w:rFonts w:eastAsia="Times New Roman" w:cstheme="minorHAnsi"/>
          <w:color w:val="000000"/>
          <w:kern w:val="0"/>
          <w:highlight w:val="yellow"/>
          <w:lang w:eastAsia="en-CA"/>
          <w14:ligatures w14:val="none"/>
        </w:rPr>
        <w:t>ordered a halt to assembly of the vacuum vessel after finding weld defects in the two sections that had been delivered up to that point (Figure 5)</w:t>
      </w:r>
      <w:r w:rsidRPr="00C52336">
        <w:rPr>
          <w:rFonts w:eastAsia="Times New Roman" w:cstheme="minorHAnsi"/>
          <w:color w:val="000000"/>
          <w:kern w:val="0"/>
          <w:lang w:eastAsia="en-CA"/>
          <w14:ligatures w14:val="none"/>
        </w:rPr>
        <w:t xml:space="preserve">. Further investigation determined that they had been </w:t>
      </w:r>
      <w:r w:rsidRPr="00831E1D">
        <w:rPr>
          <w:rFonts w:eastAsia="Times New Roman" w:cstheme="minorHAnsi"/>
          <w:color w:val="000000"/>
          <w:kern w:val="0"/>
          <w:highlight w:val="yellow"/>
          <w:lang w:eastAsia="en-CA"/>
          <w14:ligatures w14:val="none"/>
        </w:rPr>
        <w:t>damaged during shipment from South Korea</w:t>
      </w:r>
      <w:r w:rsidRPr="00C52336">
        <w:rPr>
          <w:rFonts w:eastAsia="Times New Roman" w:cstheme="minorHAnsi"/>
          <w:color w:val="000000"/>
          <w:kern w:val="0"/>
          <w:lang w:eastAsia="en-CA"/>
          <w14:ligatures w14:val="none"/>
        </w:rPr>
        <w:t xml:space="preserve">. In addition, ASN found that the </w:t>
      </w:r>
      <w:r w:rsidRPr="00831E1D">
        <w:rPr>
          <w:rFonts w:eastAsia="Times New Roman" w:cstheme="minorHAnsi"/>
          <w:color w:val="000000"/>
          <w:kern w:val="0"/>
          <w:highlight w:val="yellow"/>
          <w:lang w:eastAsia="en-CA"/>
          <w14:ligatures w14:val="none"/>
        </w:rPr>
        <w:t>radiation shielding around the vessel was inadequate, and a correction could cause the vessel to exceed the design weight of the building foundation.</w:t>
      </w:r>
    </w:p>
    <w:tbl>
      <w:tblPr>
        <w:tblW w:w="9270" w:type="dxa"/>
        <w:tblCellMar>
          <w:top w:w="15" w:type="dxa"/>
          <w:left w:w="15" w:type="dxa"/>
          <w:bottom w:w="15" w:type="dxa"/>
          <w:right w:w="15" w:type="dxa"/>
        </w:tblCellMar>
        <w:tblLook w:val="04A0" w:firstRow="1" w:lastRow="0" w:firstColumn="1" w:lastColumn="0" w:noHBand="0" w:noVBand="1"/>
      </w:tblPr>
      <w:tblGrid>
        <w:gridCol w:w="9270"/>
      </w:tblGrid>
      <w:tr w:rsidR="00C52336" w:rsidRPr="00C52336" w14:paraId="03F208CC" w14:textId="77777777" w:rsidTr="00C52336">
        <w:tc>
          <w:tcPr>
            <w:tcW w:w="9270" w:type="dxa"/>
            <w:vAlign w:val="center"/>
            <w:hideMark/>
          </w:tcPr>
          <w:p w14:paraId="10AACFC9" w14:textId="77777777" w:rsidR="00C52336" w:rsidRPr="00C52336" w:rsidRDefault="00C52336" w:rsidP="00C52336">
            <w:pPr>
              <w:spacing w:after="0" w:line="240" w:lineRule="auto"/>
              <w:rPr>
                <w:rFonts w:eastAsia="Times New Roman" w:cstheme="minorHAnsi"/>
                <w:kern w:val="0"/>
                <w:lang w:eastAsia="en-CA"/>
                <w14:ligatures w14:val="none"/>
              </w:rPr>
            </w:pPr>
            <w:r w:rsidRPr="00C52336">
              <w:rPr>
                <w:rFonts w:eastAsia="Times New Roman" w:cstheme="minorHAnsi"/>
                <w:noProof/>
                <w:kern w:val="0"/>
                <w:lang w:eastAsia="en-CA"/>
                <w14:ligatures w14:val="none"/>
              </w:rPr>
              <w:drawing>
                <wp:inline distT="0" distB="0" distL="0" distR="0" wp14:anchorId="3E21C2B1" wp14:editId="75C6B033">
                  <wp:extent cx="3847420" cy="2486025"/>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2319" cy="2508575"/>
                          </a:xfrm>
                          <a:prstGeom prst="rect">
                            <a:avLst/>
                          </a:prstGeom>
                          <a:noFill/>
                          <a:ln>
                            <a:noFill/>
                          </a:ln>
                        </pic:spPr>
                      </pic:pic>
                    </a:graphicData>
                  </a:graphic>
                </wp:inline>
              </w:drawing>
            </w:r>
          </w:p>
        </w:tc>
      </w:tr>
      <w:tr w:rsidR="00C52336" w:rsidRPr="00C52336" w14:paraId="25C4D3C8" w14:textId="77777777" w:rsidTr="00C52336">
        <w:tc>
          <w:tcPr>
            <w:tcW w:w="9270" w:type="dxa"/>
            <w:vAlign w:val="center"/>
            <w:hideMark/>
          </w:tcPr>
          <w:p w14:paraId="7748251D" w14:textId="77777777" w:rsidR="00C52336" w:rsidRPr="00C52336" w:rsidRDefault="00C52336" w:rsidP="00C52336">
            <w:pPr>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i/>
                <w:iCs/>
                <w:color w:val="000000"/>
                <w:kern w:val="0"/>
                <w:lang w:eastAsia="en-CA"/>
                <w14:ligatures w14:val="none"/>
              </w:rPr>
              <w:t>5. The first of nine sections of the massive vacuum vessel that will contain the fusion plasma in the ITER machine was delivered in late 2020. In early 2022, welding defects were discovered that halted further assembly. Courtesy ITER</w:t>
            </w:r>
          </w:p>
        </w:tc>
      </w:tr>
    </w:tbl>
    <w:p w14:paraId="40F43C74" w14:textId="77777777" w:rsid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p>
    <w:p w14:paraId="0AFD5815" w14:textId="5BBB713E"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First plasma operations at ITER were once planned for 2025. Italian scientist Pietro </w:t>
      </w:r>
      <w:proofErr w:type="spellStart"/>
      <w:r w:rsidRPr="00C52336">
        <w:rPr>
          <w:rFonts w:eastAsia="Times New Roman" w:cstheme="minorHAnsi"/>
          <w:color w:val="000000"/>
          <w:kern w:val="0"/>
          <w:lang w:eastAsia="en-CA"/>
          <w14:ligatures w14:val="none"/>
        </w:rPr>
        <w:t>Barabaschi</w:t>
      </w:r>
      <w:proofErr w:type="spellEnd"/>
      <w:r w:rsidRPr="00C52336">
        <w:rPr>
          <w:rFonts w:eastAsia="Times New Roman" w:cstheme="minorHAnsi"/>
          <w:color w:val="000000"/>
          <w:kern w:val="0"/>
          <w:lang w:eastAsia="en-CA"/>
          <w14:ligatures w14:val="none"/>
        </w:rPr>
        <w:t xml:space="preserve">, who became ITER director-general in 2022 after the death of Bernard Bigot, told French media in January 2023 that start-up has likely slipped by a year or more. However, </w:t>
      </w:r>
      <w:proofErr w:type="spellStart"/>
      <w:r w:rsidRPr="00C52336">
        <w:rPr>
          <w:rFonts w:eastAsia="Times New Roman" w:cstheme="minorHAnsi"/>
          <w:color w:val="000000"/>
          <w:kern w:val="0"/>
          <w:lang w:eastAsia="en-CA"/>
          <w14:ligatures w14:val="none"/>
        </w:rPr>
        <w:t>Barabaschi</w:t>
      </w:r>
      <w:proofErr w:type="spellEnd"/>
      <w:r w:rsidRPr="00C52336">
        <w:rPr>
          <w:rFonts w:eastAsia="Times New Roman" w:cstheme="minorHAnsi"/>
          <w:color w:val="000000"/>
          <w:kern w:val="0"/>
          <w:lang w:eastAsia="en-CA"/>
          <w14:ligatures w14:val="none"/>
        </w:rPr>
        <w:t xml:space="preserve"> also said he believed the lost time could be made up, and full operations could still begin in 2035 as scheduled.</w:t>
      </w:r>
    </w:p>
    <w:p w14:paraId="3428C87D" w14:textId="77777777" w:rsidR="00C52336" w:rsidRPr="00C52336" w:rsidRDefault="00C52336" w:rsidP="00C52336">
      <w:pPr>
        <w:shd w:val="clear" w:color="auto" w:fill="FFFFFF"/>
        <w:spacing w:after="100" w:afterAutospacing="1" w:line="240" w:lineRule="auto"/>
        <w:outlineLvl w:val="1"/>
        <w:rPr>
          <w:rFonts w:eastAsia="Times New Roman" w:cstheme="minorHAnsi"/>
          <w:b/>
          <w:bCs/>
          <w:color w:val="1D3557"/>
          <w:kern w:val="0"/>
          <w:lang w:eastAsia="en-CA"/>
          <w14:ligatures w14:val="none"/>
        </w:rPr>
      </w:pPr>
      <w:proofErr w:type="gramStart"/>
      <w:r w:rsidRPr="00C52336">
        <w:rPr>
          <w:rFonts w:eastAsia="Times New Roman" w:cstheme="minorHAnsi"/>
          <w:b/>
          <w:bCs/>
          <w:color w:val="1D3557"/>
          <w:kern w:val="0"/>
          <w:lang w:eastAsia="en-CA"/>
          <w14:ligatures w14:val="none"/>
        </w:rPr>
        <w:t>Future Outlook</w:t>
      </w:r>
      <w:proofErr w:type="gramEnd"/>
    </w:p>
    <w:p w14:paraId="1BA0395B"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color w:val="000000"/>
          <w:kern w:val="0"/>
          <w:lang w:eastAsia="en-CA"/>
          <w14:ligatures w14:val="none"/>
        </w:rPr>
        <w:t xml:space="preserve">The significant increase in public and private investment in fusion energy, as well as the recent scientific and technical advances, </w:t>
      </w:r>
      <w:r w:rsidRPr="00831E1D">
        <w:rPr>
          <w:rFonts w:eastAsia="Times New Roman" w:cstheme="minorHAnsi"/>
          <w:color w:val="000000"/>
          <w:kern w:val="0"/>
          <w:highlight w:val="yellow"/>
          <w:lang w:eastAsia="en-CA"/>
          <w14:ligatures w14:val="none"/>
        </w:rPr>
        <w:t>have reset expectations for many industry observers</w:t>
      </w:r>
      <w:r w:rsidRPr="00C52336">
        <w:rPr>
          <w:rFonts w:eastAsia="Times New Roman" w:cstheme="minorHAnsi"/>
          <w:color w:val="000000"/>
          <w:kern w:val="0"/>
          <w:lang w:eastAsia="en-CA"/>
          <w14:ligatures w14:val="none"/>
        </w:rPr>
        <w:t xml:space="preserve">. </w:t>
      </w:r>
      <w:r w:rsidRPr="00831E1D">
        <w:rPr>
          <w:rFonts w:eastAsia="Times New Roman" w:cstheme="minorHAnsi"/>
          <w:color w:val="000000"/>
          <w:kern w:val="0"/>
          <w:highlight w:val="yellow"/>
          <w:lang w:eastAsia="en-CA"/>
          <w14:ligatures w14:val="none"/>
        </w:rPr>
        <w:t>The large number of projects working in parallel suggest that net energy could potentially be achieved via magnetic fusion in the late 2020s,</w:t>
      </w:r>
      <w:r w:rsidRPr="00C52336">
        <w:rPr>
          <w:rFonts w:eastAsia="Times New Roman" w:cstheme="minorHAnsi"/>
          <w:color w:val="000000"/>
          <w:kern w:val="0"/>
          <w:lang w:eastAsia="en-CA"/>
          <w14:ligatures w14:val="none"/>
        </w:rPr>
        <w:t xml:space="preserve"> which would conveniently coincide with the forthcoming NRC regulatory framework. Should that occur, it is likely that funding will be available for the first FPPs, which could come online as soon as the early 2030s.</w:t>
      </w:r>
    </w:p>
    <w:p w14:paraId="6CC518A5" w14:textId="77777777" w:rsidR="00C52336" w:rsidRPr="00C52336" w:rsidRDefault="00C52336" w:rsidP="00C52336">
      <w:pPr>
        <w:shd w:val="clear" w:color="auto" w:fill="FFFFFF"/>
        <w:spacing w:after="100" w:afterAutospacing="1" w:line="240" w:lineRule="auto"/>
        <w:rPr>
          <w:rFonts w:eastAsia="Times New Roman" w:cstheme="minorHAnsi"/>
          <w:color w:val="000000"/>
          <w:kern w:val="0"/>
          <w:lang w:eastAsia="en-CA"/>
          <w14:ligatures w14:val="none"/>
        </w:rPr>
      </w:pPr>
      <w:r w:rsidRPr="00C52336">
        <w:rPr>
          <w:rFonts w:eastAsia="Times New Roman" w:cstheme="minorHAnsi"/>
          <w:i/>
          <w:iCs/>
          <w:color w:val="000000"/>
          <w:kern w:val="0"/>
          <w:lang w:eastAsia="en-CA"/>
          <w14:ligatures w14:val="none"/>
        </w:rPr>
        <w:t>—</w:t>
      </w:r>
      <w:r w:rsidRPr="00C52336">
        <w:rPr>
          <w:rFonts w:eastAsia="Times New Roman" w:cstheme="minorHAnsi"/>
          <w:b/>
          <w:bCs/>
          <w:i/>
          <w:iCs/>
          <w:color w:val="000000"/>
          <w:kern w:val="0"/>
          <w:lang w:eastAsia="en-CA"/>
          <w14:ligatures w14:val="none"/>
        </w:rPr>
        <w:t>Thomas W. Overton</w:t>
      </w:r>
      <w:r w:rsidRPr="00C52336">
        <w:rPr>
          <w:rFonts w:eastAsia="Times New Roman" w:cstheme="minorHAnsi"/>
          <w:i/>
          <w:iCs/>
          <w:color w:val="000000"/>
          <w:kern w:val="0"/>
          <w:lang w:eastAsia="en-CA"/>
          <w14:ligatures w14:val="none"/>
        </w:rPr>
        <w:t xml:space="preserve"> is senior strategic development specialist with </w:t>
      </w:r>
      <w:r w:rsidRPr="00831E1D">
        <w:rPr>
          <w:rFonts w:eastAsia="Times New Roman" w:cstheme="minorHAnsi"/>
          <w:i/>
          <w:iCs/>
          <w:color w:val="000000"/>
          <w:kern w:val="0"/>
          <w:highlight w:val="yellow"/>
          <w:lang w:eastAsia="en-CA"/>
          <w14:ligatures w14:val="none"/>
        </w:rPr>
        <w:t>General Atomics</w:t>
      </w:r>
      <w:r w:rsidRPr="00C52336">
        <w:rPr>
          <w:rFonts w:eastAsia="Times New Roman" w:cstheme="minorHAnsi"/>
          <w:i/>
          <w:iCs/>
          <w:color w:val="000000"/>
          <w:kern w:val="0"/>
          <w:lang w:eastAsia="en-CA"/>
          <w14:ligatures w14:val="none"/>
        </w:rPr>
        <w:t xml:space="preserve"> in San Diego, California.</w:t>
      </w:r>
    </w:p>
    <w:p w14:paraId="2262BCD9" w14:textId="77777777" w:rsidR="00353233" w:rsidRDefault="00353233"/>
    <w:sectPr w:rsidR="00353233" w:rsidSect="00C52336">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36"/>
    <w:rsid w:val="00006832"/>
    <w:rsid w:val="000B0CF4"/>
    <w:rsid w:val="00353233"/>
    <w:rsid w:val="00377EF3"/>
    <w:rsid w:val="003E4AF0"/>
    <w:rsid w:val="0060222F"/>
    <w:rsid w:val="00615712"/>
    <w:rsid w:val="00704C65"/>
    <w:rsid w:val="007103BA"/>
    <w:rsid w:val="007821B9"/>
    <w:rsid w:val="00831E1D"/>
    <w:rsid w:val="009E57CD"/>
    <w:rsid w:val="00A728EA"/>
    <w:rsid w:val="00AD5095"/>
    <w:rsid w:val="00AE62F9"/>
    <w:rsid w:val="00B8227E"/>
    <w:rsid w:val="00C52336"/>
    <w:rsid w:val="00D80D03"/>
    <w:rsid w:val="00E04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3E0D"/>
  <w15:chartTrackingRefBased/>
  <w15:docId w15:val="{528E726A-87D9-4C65-9FF8-BBD2E636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79762">
      <w:bodyDiv w:val="1"/>
      <w:marLeft w:val="0"/>
      <w:marRight w:val="0"/>
      <w:marTop w:val="0"/>
      <w:marBottom w:val="0"/>
      <w:divBdr>
        <w:top w:val="none" w:sz="0" w:space="0" w:color="auto"/>
        <w:left w:val="none" w:sz="0" w:space="0" w:color="auto"/>
        <w:bottom w:val="none" w:sz="0" w:space="0" w:color="auto"/>
        <w:right w:val="none" w:sz="0" w:space="0" w:color="auto"/>
      </w:divBdr>
      <w:divsChild>
        <w:div w:id="592058641">
          <w:marLeft w:val="0"/>
          <w:marRight w:val="0"/>
          <w:marTop w:val="0"/>
          <w:marBottom w:val="0"/>
          <w:divBdr>
            <w:top w:val="none" w:sz="0" w:space="0" w:color="auto"/>
            <w:left w:val="none" w:sz="0" w:space="0" w:color="auto"/>
            <w:bottom w:val="none" w:sz="0" w:space="0" w:color="auto"/>
            <w:right w:val="none" w:sz="0" w:space="0" w:color="auto"/>
          </w:divBdr>
          <w:divsChild>
            <w:div w:id="1262910443">
              <w:marLeft w:val="0"/>
              <w:marRight w:val="0"/>
              <w:marTop w:val="0"/>
              <w:marBottom w:val="0"/>
              <w:divBdr>
                <w:top w:val="none" w:sz="0" w:space="0" w:color="auto"/>
                <w:left w:val="none" w:sz="0" w:space="0" w:color="auto"/>
                <w:bottom w:val="none" w:sz="0" w:space="0" w:color="auto"/>
                <w:right w:val="none" w:sz="0" w:space="0" w:color="auto"/>
              </w:divBdr>
              <w:divsChild>
                <w:div w:id="4571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wermag.com/doe-confirms-fusion-energy-milestone-at-california-lab/" TargetMode="External"/><Relationship Id="rId12" Type="http://schemas.openxmlformats.org/officeDocument/2006/relationships/hyperlink" Target="https://www.powermag.com/groups-announce-successful-test-to-advance-fusion-energy/"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powermag.com/assembly-phase-underway-for-iter-nuclear-projec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owermag.com/fusion-power-may-be-closer-than-you-think/" TargetMode="External"/><Relationship Id="rId5" Type="http://schemas.openxmlformats.org/officeDocument/2006/relationships/hyperlink" Target="https://www.powermag.com/fusion-energy-breakthrough-record-performance-achieved-at-jet/" TargetMode="External"/><Relationship Id="rId15" Type="http://schemas.openxmlformats.org/officeDocument/2006/relationships/hyperlink" Target="https://www.powermag.com/uk-picks-coal-power-plant-as-site-for-nuclear-fusion-energy-prototyp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hyperlink" Target="https://www.powermag.com/fusion-energy-is-coming-and-maybe-sooner-than-you-think/" TargetMode="External"/><Relationship Id="rId9" Type="http://schemas.openxmlformats.org/officeDocument/2006/relationships/hyperlink" Target="https://www.powermag.com/fusion-breakthrough-brings-cheers-though-challenges-remain/" TargetMode="External"/><Relationship Id="rId14" Type="http://schemas.openxmlformats.org/officeDocument/2006/relationships/hyperlink" Target="https://www.powermag.com/uk-eyes-2025-operation-date-for-fusion-demo-plant-as-powerful-magnet-heads-to-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2791</Words>
  <Characters>15911</Characters>
  <Application>Microsoft Office Word</Application>
  <DocSecurity>0</DocSecurity>
  <Lines>132</Lines>
  <Paragraphs>37</Paragraphs>
  <ScaleCrop>false</ScaleCrop>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rodenburg</dc:creator>
  <cp:keywords/>
  <dc:description/>
  <cp:lastModifiedBy>klaas rodenburg</cp:lastModifiedBy>
  <cp:revision>17</cp:revision>
  <dcterms:created xsi:type="dcterms:W3CDTF">2023-05-04T14:08:00Z</dcterms:created>
  <dcterms:modified xsi:type="dcterms:W3CDTF">2023-05-12T16:30:00Z</dcterms:modified>
</cp:coreProperties>
</file>