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A943" w14:textId="77777777" w:rsidR="00B70263" w:rsidRDefault="00B70263" w:rsidP="00B70263">
      <w:pPr>
        <w:jc w:val="center"/>
        <w:rPr>
          <w:sz w:val="76"/>
          <w:szCs w:val="76"/>
        </w:rPr>
      </w:pPr>
      <w:r>
        <w:rPr>
          <w:sz w:val="76"/>
          <w:szCs w:val="76"/>
        </w:rPr>
        <w:t>PERRY KINKAIDE &amp; Colleagues</w:t>
      </w:r>
    </w:p>
    <w:p w14:paraId="39094C54" w14:textId="77777777" w:rsidR="00B70263" w:rsidRDefault="00B70263" w:rsidP="00B70263">
      <w:pPr>
        <w:jc w:val="center"/>
        <w:rPr>
          <w:b/>
          <w:sz w:val="48"/>
          <w:szCs w:val="48"/>
        </w:rPr>
      </w:pPr>
    </w:p>
    <w:p w14:paraId="34C1F5F4" w14:textId="77777777" w:rsidR="00B70263" w:rsidRDefault="00B70263" w:rsidP="00B70263">
      <w:pPr>
        <w:jc w:val="center"/>
        <w:rPr>
          <w:b/>
          <w:sz w:val="48"/>
          <w:szCs w:val="48"/>
        </w:rPr>
      </w:pPr>
    </w:p>
    <w:p w14:paraId="10055767" w14:textId="77777777" w:rsidR="00B70263" w:rsidRDefault="00B70263" w:rsidP="00B70263">
      <w:pPr>
        <w:jc w:val="center"/>
        <w:rPr>
          <w:b/>
          <w:sz w:val="48"/>
          <w:szCs w:val="48"/>
        </w:rPr>
      </w:pPr>
    </w:p>
    <w:p w14:paraId="37F6C204" w14:textId="77777777" w:rsidR="00B70263" w:rsidRDefault="00B70263" w:rsidP="00B70263">
      <w:pPr>
        <w:spacing w:after="0"/>
        <w:jc w:val="center"/>
        <w:rPr>
          <w:rFonts w:cstheme="minorHAnsi"/>
          <w:sz w:val="24"/>
          <w:szCs w:val="24"/>
        </w:rPr>
      </w:pPr>
      <w:r>
        <w:rPr>
          <w:rFonts w:ascii="Baskerville Old Face" w:hAnsi="Baskerville Old Face" w:cstheme="minorHAnsi"/>
          <w:b/>
          <w:sz w:val="96"/>
          <w:szCs w:val="96"/>
        </w:rPr>
        <w:t xml:space="preserve">FEMINIZATION </w:t>
      </w:r>
      <w:r w:rsidR="008E6D1B">
        <w:rPr>
          <w:rFonts w:ascii="Baskerville Old Face" w:hAnsi="Baskerville Old Face" w:cstheme="minorHAnsi"/>
          <w:b/>
          <w:sz w:val="96"/>
          <w:szCs w:val="96"/>
        </w:rPr>
        <w:t>–</w:t>
      </w:r>
      <w:r>
        <w:rPr>
          <w:rFonts w:ascii="Baskerville Old Face" w:hAnsi="Baskerville Old Face" w:cstheme="minorHAnsi"/>
          <w:b/>
          <w:sz w:val="96"/>
          <w:szCs w:val="96"/>
        </w:rPr>
        <w:t xml:space="preserve"> </w:t>
      </w:r>
      <w:r w:rsidR="008E6D1B">
        <w:rPr>
          <w:rFonts w:ascii="Baskerville Old Face" w:hAnsi="Baskerville Old Face" w:cstheme="minorHAnsi"/>
          <w:b/>
          <w:sz w:val="96"/>
          <w:szCs w:val="96"/>
        </w:rPr>
        <w:t>The Cause. The Cost.</w:t>
      </w:r>
    </w:p>
    <w:p w14:paraId="107DE4C1" w14:textId="77777777" w:rsidR="00B70263" w:rsidRDefault="00B70263" w:rsidP="00B70263">
      <w:pPr>
        <w:spacing w:after="0" w:line="240" w:lineRule="auto"/>
        <w:rPr>
          <w:rFonts w:cstheme="minorHAnsi"/>
          <w:sz w:val="24"/>
          <w:szCs w:val="24"/>
        </w:rPr>
      </w:pPr>
    </w:p>
    <w:p w14:paraId="48BD76A9" w14:textId="77777777" w:rsidR="00B70263" w:rsidRDefault="00B70263" w:rsidP="00B70263">
      <w:pPr>
        <w:spacing w:after="0" w:line="240" w:lineRule="auto"/>
        <w:rPr>
          <w:rFonts w:cstheme="minorHAnsi"/>
          <w:sz w:val="24"/>
          <w:szCs w:val="24"/>
        </w:rPr>
      </w:pPr>
    </w:p>
    <w:p w14:paraId="277E143A" w14:textId="77777777" w:rsidR="00B70263" w:rsidRDefault="00B70263" w:rsidP="00B70263">
      <w:pPr>
        <w:spacing w:after="0" w:line="240" w:lineRule="auto"/>
        <w:rPr>
          <w:rFonts w:cstheme="minorHAnsi"/>
          <w:sz w:val="24"/>
          <w:szCs w:val="24"/>
        </w:rPr>
      </w:pPr>
    </w:p>
    <w:p w14:paraId="2ADABEF4" w14:textId="77777777" w:rsidR="00B70263" w:rsidRDefault="008E6D1B" w:rsidP="00B70263">
      <w:pPr>
        <w:spacing w:after="0" w:line="240" w:lineRule="auto"/>
        <w:rPr>
          <w:rFonts w:cstheme="minorHAnsi"/>
          <w:sz w:val="24"/>
          <w:szCs w:val="24"/>
        </w:rPr>
      </w:pPr>
      <w:r w:rsidRPr="00D42420">
        <w:rPr>
          <w:b/>
          <w:noProof/>
          <w:sz w:val="48"/>
          <w:szCs w:val="48"/>
        </w:rPr>
        <w:drawing>
          <wp:anchor distT="0" distB="0" distL="114300" distR="114300" simplePos="0" relativeHeight="251660288" behindDoc="1" locked="0" layoutInCell="1" allowOverlap="1" wp14:anchorId="6E68949D" wp14:editId="3D1A3A9B">
            <wp:simplePos x="0" y="0"/>
            <wp:positionH relativeFrom="column">
              <wp:posOffset>1851660</wp:posOffset>
            </wp:positionH>
            <wp:positionV relativeFrom="paragraph">
              <wp:posOffset>106680</wp:posOffset>
            </wp:positionV>
            <wp:extent cx="1935480" cy="1863725"/>
            <wp:effectExtent l="0" t="0" r="762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935480" cy="1863725"/>
                    </a:xfrm>
                    <a:prstGeom prst="rect">
                      <a:avLst/>
                    </a:prstGeom>
                  </pic:spPr>
                </pic:pic>
              </a:graphicData>
            </a:graphic>
            <wp14:sizeRelH relativeFrom="page">
              <wp14:pctWidth>0</wp14:pctWidth>
            </wp14:sizeRelH>
            <wp14:sizeRelV relativeFrom="page">
              <wp14:pctHeight>0</wp14:pctHeight>
            </wp14:sizeRelV>
          </wp:anchor>
        </w:drawing>
      </w:r>
    </w:p>
    <w:p w14:paraId="24DC4DDD" w14:textId="77777777" w:rsidR="00B70263" w:rsidRDefault="00B70263" w:rsidP="00B70263">
      <w:pPr>
        <w:spacing w:after="0" w:line="240" w:lineRule="auto"/>
        <w:rPr>
          <w:rFonts w:cstheme="minorHAnsi"/>
          <w:sz w:val="24"/>
          <w:szCs w:val="24"/>
        </w:rPr>
      </w:pPr>
    </w:p>
    <w:p w14:paraId="32A3EC1B" w14:textId="77777777" w:rsidR="00D42420" w:rsidRDefault="00D42420" w:rsidP="00B70263">
      <w:pPr>
        <w:spacing w:after="0" w:line="240" w:lineRule="auto"/>
        <w:jc w:val="right"/>
        <w:rPr>
          <w:rFonts w:cstheme="minorHAnsi"/>
          <w:sz w:val="24"/>
          <w:szCs w:val="24"/>
        </w:rPr>
      </w:pPr>
    </w:p>
    <w:p w14:paraId="55A592F6" w14:textId="77777777" w:rsidR="008E6D1B" w:rsidRDefault="008E6D1B" w:rsidP="00B70263">
      <w:pPr>
        <w:spacing w:after="0" w:line="240" w:lineRule="auto"/>
        <w:jc w:val="right"/>
        <w:rPr>
          <w:rFonts w:cstheme="minorHAnsi"/>
          <w:sz w:val="24"/>
          <w:szCs w:val="24"/>
        </w:rPr>
      </w:pPr>
    </w:p>
    <w:p w14:paraId="4C03C853" w14:textId="77777777" w:rsidR="008E6D1B" w:rsidRDefault="008E6D1B" w:rsidP="00B70263">
      <w:pPr>
        <w:spacing w:after="0" w:line="240" w:lineRule="auto"/>
        <w:jc w:val="right"/>
        <w:rPr>
          <w:rFonts w:cstheme="minorHAnsi"/>
          <w:sz w:val="24"/>
          <w:szCs w:val="24"/>
        </w:rPr>
      </w:pPr>
    </w:p>
    <w:p w14:paraId="4828F3A4" w14:textId="77777777" w:rsidR="008E6D1B" w:rsidRDefault="008E6D1B" w:rsidP="00B70263">
      <w:pPr>
        <w:spacing w:after="0" w:line="240" w:lineRule="auto"/>
        <w:jc w:val="right"/>
        <w:rPr>
          <w:rFonts w:cstheme="minorHAnsi"/>
          <w:sz w:val="24"/>
          <w:szCs w:val="24"/>
        </w:rPr>
      </w:pPr>
    </w:p>
    <w:p w14:paraId="6617AC19" w14:textId="77777777" w:rsidR="008E6D1B" w:rsidRDefault="008E6D1B" w:rsidP="00B70263">
      <w:pPr>
        <w:spacing w:after="0" w:line="240" w:lineRule="auto"/>
        <w:jc w:val="right"/>
        <w:rPr>
          <w:rFonts w:cstheme="minorHAnsi"/>
          <w:sz w:val="24"/>
          <w:szCs w:val="24"/>
        </w:rPr>
      </w:pPr>
    </w:p>
    <w:p w14:paraId="35322CE6" w14:textId="77777777" w:rsidR="008E6D1B" w:rsidRDefault="008E6D1B" w:rsidP="00B70263">
      <w:pPr>
        <w:spacing w:after="0" w:line="240" w:lineRule="auto"/>
        <w:jc w:val="right"/>
        <w:rPr>
          <w:rFonts w:cstheme="minorHAnsi"/>
          <w:sz w:val="24"/>
          <w:szCs w:val="24"/>
        </w:rPr>
      </w:pPr>
    </w:p>
    <w:p w14:paraId="60F14A05" w14:textId="77777777" w:rsidR="008E6D1B" w:rsidRDefault="008E6D1B" w:rsidP="00B70263">
      <w:pPr>
        <w:spacing w:after="0" w:line="240" w:lineRule="auto"/>
        <w:jc w:val="right"/>
        <w:rPr>
          <w:rFonts w:cstheme="minorHAnsi"/>
          <w:sz w:val="24"/>
          <w:szCs w:val="24"/>
        </w:rPr>
      </w:pPr>
    </w:p>
    <w:p w14:paraId="23B1932F" w14:textId="77777777" w:rsidR="008E6D1B" w:rsidRDefault="008E6D1B" w:rsidP="00B70263">
      <w:pPr>
        <w:spacing w:after="0" w:line="240" w:lineRule="auto"/>
        <w:jc w:val="right"/>
        <w:rPr>
          <w:rFonts w:cstheme="minorHAnsi"/>
          <w:sz w:val="24"/>
          <w:szCs w:val="24"/>
        </w:rPr>
      </w:pPr>
    </w:p>
    <w:p w14:paraId="6E684518" w14:textId="77777777" w:rsidR="008E6D1B" w:rsidRDefault="008E6D1B" w:rsidP="00B70263">
      <w:pPr>
        <w:spacing w:after="0" w:line="240" w:lineRule="auto"/>
        <w:jc w:val="right"/>
        <w:rPr>
          <w:rFonts w:cstheme="minorHAnsi"/>
          <w:sz w:val="24"/>
          <w:szCs w:val="24"/>
        </w:rPr>
      </w:pPr>
    </w:p>
    <w:p w14:paraId="312F8D73" w14:textId="77777777" w:rsidR="008E6D1B" w:rsidRDefault="008E6D1B" w:rsidP="00B70263">
      <w:pPr>
        <w:spacing w:after="0" w:line="240" w:lineRule="auto"/>
        <w:jc w:val="right"/>
        <w:rPr>
          <w:rFonts w:cstheme="minorHAnsi"/>
          <w:sz w:val="24"/>
          <w:szCs w:val="24"/>
        </w:rPr>
      </w:pPr>
    </w:p>
    <w:p w14:paraId="085245A1" w14:textId="77777777" w:rsidR="008E6D1B" w:rsidRDefault="008E6D1B" w:rsidP="00B70263">
      <w:pPr>
        <w:spacing w:after="0" w:line="240" w:lineRule="auto"/>
        <w:jc w:val="right"/>
        <w:rPr>
          <w:rFonts w:cstheme="minorHAnsi"/>
          <w:sz w:val="24"/>
          <w:szCs w:val="24"/>
        </w:rPr>
      </w:pPr>
    </w:p>
    <w:p w14:paraId="5745E497" w14:textId="77777777" w:rsidR="008E6D1B" w:rsidRDefault="008E6D1B" w:rsidP="00B70263">
      <w:pPr>
        <w:spacing w:after="0" w:line="240" w:lineRule="auto"/>
        <w:jc w:val="right"/>
        <w:rPr>
          <w:rFonts w:cstheme="minorHAnsi"/>
          <w:sz w:val="24"/>
          <w:szCs w:val="24"/>
        </w:rPr>
      </w:pPr>
    </w:p>
    <w:p w14:paraId="2F5F4A0D" w14:textId="77777777" w:rsidR="008E6D1B" w:rsidRDefault="008E6D1B" w:rsidP="00B70263">
      <w:pPr>
        <w:spacing w:after="0" w:line="240" w:lineRule="auto"/>
        <w:jc w:val="right"/>
        <w:rPr>
          <w:rFonts w:cstheme="minorHAnsi"/>
          <w:sz w:val="24"/>
          <w:szCs w:val="24"/>
        </w:rPr>
      </w:pPr>
    </w:p>
    <w:p w14:paraId="75A89C5A" w14:textId="77777777" w:rsidR="008E6D1B" w:rsidRDefault="008E6D1B" w:rsidP="00B70263">
      <w:pPr>
        <w:spacing w:after="0" w:line="240" w:lineRule="auto"/>
        <w:jc w:val="right"/>
        <w:rPr>
          <w:rFonts w:cstheme="minorHAnsi"/>
          <w:sz w:val="24"/>
          <w:szCs w:val="24"/>
        </w:rPr>
      </w:pPr>
    </w:p>
    <w:p w14:paraId="60831B69" w14:textId="77777777" w:rsidR="00D42420" w:rsidRDefault="00D42420" w:rsidP="00B70263">
      <w:pPr>
        <w:spacing w:after="0" w:line="240" w:lineRule="auto"/>
        <w:jc w:val="right"/>
        <w:rPr>
          <w:rFonts w:cstheme="minorHAnsi"/>
          <w:sz w:val="24"/>
          <w:szCs w:val="24"/>
        </w:rPr>
      </w:pPr>
    </w:p>
    <w:p w14:paraId="20BF6895" w14:textId="77777777" w:rsidR="00B70263" w:rsidRDefault="00B70263" w:rsidP="00B70263">
      <w:pPr>
        <w:spacing w:after="0" w:line="240" w:lineRule="auto"/>
        <w:jc w:val="right"/>
        <w:rPr>
          <w:rFonts w:cstheme="minorHAnsi"/>
          <w:sz w:val="24"/>
          <w:szCs w:val="24"/>
        </w:rPr>
      </w:pPr>
      <w:r>
        <w:rPr>
          <w:rFonts w:cstheme="minorHAnsi"/>
          <w:sz w:val="24"/>
          <w:szCs w:val="24"/>
        </w:rPr>
        <w:t>January 1, 2025</w:t>
      </w:r>
    </w:p>
    <w:p w14:paraId="6A1BE302" w14:textId="77777777" w:rsidR="00B70263" w:rsidRDefault="00B70263" w:rsidP="00B70263">
      <w:pPr>
        <w:spacing w:after="0" w:line="240" w:lineRule="auto"/>
        <w:jc w:val="right"/>
        <w:rPr>
          <w:rFonts w:cstheme="minorHAnsi"/>
          <w:sz w:val="24"/>
          <w:szCs w:val="24"/>
        </w:rPr>
      </w:pPr>
    </w:p>
    <w:p w14:paraId="4AE0BD7C" w14:textId="77777777" w:rsidR="00B70263" w:rsidRPr="00141F3A" w:rsidRDefault="00B70263" w:rsidP="00B70263">
      <w:pPr>
        <w:spacing w:after="0" w:line="240" w:lineRule="auto"/>
        <w:jc w:val="center"/>
        <w:rPr>
          <w:rFonts w:ascii="Century" w:hAnsi="Century" w:cstheme="minorHAnsi"/>
          <w:i/>
          <w:sz w:val="32"/>
          <w:szCs w:val="32"/>
        </w:rPr>
      </w:pPr>
      <w:r w:rsidRPr="00141F3A">
        <w:rPr>
          <w:rFonts w:ascii="Century" w:hAnsi="Century" w:cstheme="minorHAnsi"/>
          <w:i/>
          <w:sz w:val="32"/>
          <w:szCs w:val="32"/>
        </w:rPr>
        <w:lastRenderedPageBreak/>
        <w:t>PREFACE</w:t>
      </w:r>
    </w:p>
    <w:p w14:paraId="2AD21E42" w14:textId="77777777" w:rsidR="00B70263" w:rsidRPr="00141F3A" w:rsidRDefault="00B70263" w:rsidP="00B70263">
      <w:pPr>
        <w:spacing w:after="0" w:line="240" w:lineRule="auto"/>
        <w:rPr>
          <w:rFonts w:ascii="Century" w:hAnsi="Century" w:cstheme="minorHAnsi"/>
          <w:b/>
          <w:sz w:val="28"/>
          <w:szCs w:val="28"/>
        </w:rPr>
      </w:pPr>
    </w:p>
    <w:p w14:paraId="59DF8625" w14:textId="77777777" w:rsidR="00B70263" w:rsidRPr="00141F3A" w:rsidRDefault="00B70263" w:rsidP="00B70263">
      <w:pPr>
        <w:spacing w:after="0" w:line="240" w:lineRule="auto"/>
        <w:rPr>
          <w:rFonts w:ascii="Century" w:hAnsi="Century" w:cstheme="minorHAnsi"/>
          <w:b/>
          <w:sz w:val="28"/>
          <w:szCs w:val="28"/>
        </w:rPr>
      </w:pPr>
      <w:r w:rsidRPr="00141F3A">
        <w:rPr>
          <w:rFonts w:ascii="Century" w:hAnsi="Century" w:cstheme="minorHAnsi"/>
          <w:b/>
          <w:sz w:val="28"/>
          <w:szCs w:val="28"/>
        </w:rPr>
        <w:t xml:space="preserve"> The Shifting Tides of Society</w:t>
      </w:r>
    </w:p>
    <w:p w14:paraId="6F2A0DCF" w14:textId="77777777" w:rsidR="00B70263" w:rsidRPr="00141F3A" w:rsidRDefault="00B70263" w:rsidP="00B70263">
      <w:pPr>
        <w:spacing w:after="0" w:line="240" w:lineRule="auto"/>
        <w:rPr>
          <w:rFonts w:ascii="Century" w:hAnsi="Century" w:cstheme="minorHAnsi"/>
          <w:sz w:val="24"/>
          <w:szCs w:val="24"/>
        </w:rPr>
      </w:pPr>
    </w:p>
    <w:p w14:paraId="3B60AC45" w14:textId="77777777" w:rsidR="00B70263" w:rsidRPr="00141F3A" w:rsidRDefault="00B70263" w:rsidP="00B70263">
      <w:pPr>
        <w:pStyle w:val="NormalWeb"/>
        <w:rPr>
          <w:rFonts w:ascii="Century" w:hAnsi="Century"/>
        </w:rPr>
      </w:pPr>
      <w:r w:rsidRPr="00141F3A">
        <w:rPr>
          <w:rFonts w:ascii="Century" w:hAnsi="Century"/>
        </w:rPr>
        <w:t>The 21st century has ushered in unprecedented changes in how societies function, placing gender dynamics at the forefront of this transformation. The phenomenon of feminization—the increasing influence of traditionally feminine values such as empathy, collaboration, and inclusivity—has reshaped institutions, policies, and cultural norms. This shift is both a cause for celebration and a source of tension, as it challenges longstanding structures and roles.</w:t>
      </w:r>
    </w:p>
    <w:p w14:paraId="06BDA677" w14:textId="77777777" w:rsidR="00B70263" w:rsidRPr="00141F3A" w:rsidRDefault="00B70263" w:rsidP="00B70263">
      <w:pPr>
        <w:pStyle w:val="NormalWeb"/>
        <w:rPr>
          <w:rFonts w:ascii="Century" w:hAnsi="Century"/>
        </w:rPr>
      </w:pPr>
      <w:r w:rsidRPr="00141F3A">
        <w:rPr>
          <w:rFonts w:ascii="Century" w:hAnsi="Century"/>
        </w:rPr>
        <w:t>Today’s world is markedly different from that of our parents and grandparents. Women now surpass men in educational attainment, occupy power positions in politics and business, and drive cultural and social movements. However, these advances bring challenges: men face evolving expectations, and traditional industries and gender roles are undergoing seismic shifts. These changes affect economic structures, societal norms, and cultural identities, creating a complex landscape that demands nuanced understanding.</w:t>
      </w:r>
    </w:p>
    <w:p w14:paraId="34A7DD13" w14:textId="77777777" w:rsidR="00B70263" w:rsidRPr="00141F3A" w:rsidRDefault="00B70263" w:rsidP="00B70263">
      <w:pPr>
        <w:pStyle w:val="NormalWeb"/>
        <w:rPr>
          <w:rFonts w:ascii="Century" w:hAnsi="Century"/>
        </w:rPr>
      </w:pPr>
      <w:r w:rsidRPr="00141F3A">
        <w:rPr>
          <w:rFonts w:ascii="Century" w:hAnsi="Century"/>
        </w:rPr>
        <w:t>This book explores the dimensions of feminization—its drivers, its impacts, and its implications for the future. From the rise of women in education and the workforce to the decline of male-dominated industries and the redefinition of masculinity in media, each chapter delves into how these changes are shaping modern life. We also highlight differences between countries, particularly the United States and Canada, providing a comparative lens to understand how policies, culture, and history influence these dynamics.</w:t>
      </w:r>
    </w:p>
    <w:p w14:paraId="26D9046F" w14:textId="77777777" w:rsidR="00B70263" w:rsidRPr="00141F3A" w:rsidRDefault="00B70263" w:rsidP="00B70263">
      <w:pPr>
        <w:pStyle w:val="NormalWeb"/>
        <w:rPr>
          <w:rFonts w:ascii="Century" w:hAnsi="Century"/>
        </w:rPr>
      </w:pPr>
      <w:r w:rsidRPr="00141F3A">
        <w:rPr>
          <w:rFonts w:ascii="Century" w:hAnsi="Century"/>
        </w:rPr>
        <w:t>By examining these trends, we aim to foster a deeper understanding of the complexities of feminization and spark meaningful dialogue about the challenges and opportunities it presents. This is not just a story about gender; it is a story about humanity’s ability to adapt, evolve, and thrive in the face of change.</w:t>
      </w:r>
    </w:p>
    <w:p w14:paraId="6E8BEAB1" w14:textId="77777777" w:rsidR="00B70263" w:rsidRPr="00141F3A" w:rsidRDefault="00B70263" w:rsidP="00B70263">
      <w:pPr>
        <w:rPr>
          <w:rFonts w:ascii="Century" w:hAnsi="Century" w:cstheme="minorHAnsi"/>
          <w:sz w:val="24"/>
          <w:szCs w:val="24"/>
        </w:rPr>
      </w:pPr>
      <w:r w:rsidRPr="00141F3A">
        <w:rPr>
          <w:rFonts w:ascii="Century" w:hAnsi="Century" w:cstheme="minorHAnsi"/>
          <w:sz w:val="24"/>
          <w:szCs w:val="24"/>
        </w:rPr>
        <w:br w:type="page"/>
      </w:r>
    </w:p>
    <w:p w14:paraId="08B77660" w14:textId="77777777" w:rsidR="00B70263" w:rsidRPr="00141F3A" w:rsidRDefault="00B70263" w:rsidP="00B70263">
      <w:pPr>
        <w:spacing w:after="0" w:line="240" w:lineRule="auto"/>
        <w:jc w:val="center"/>
        <w:rPr>
          <w:rFonts w:ascii="Century" w:hAnsi="Century" w:cstheme="minorHAnsi"/>
          <w:i/>
          <w:sz w:val="32"/>
          <w:szCs w:val="32"/>
        </w:rPr>
      </w:pPr>
      <w:r w:rsidRPr="00141F3A">
        <w:rPr>
          <w:rFonts w:ascii="Century" w:hAnsi="Century" w:cstheme="minorHAnsi"/>
          <w:i/>
          <w:sz w:val="32"/>
          <w:szCs w:val="32"/>
        </w:rPr>
        <w:lastRenderedPageBreak/>
        <w:t>Contents</w:t>
      </w:r>
    </w:p>
    <w:p w14:paraId="0144EDE9" w14:textId="77777777" w:rsidR="00B70263" w:rsidRPr="00141F3A" w:rsidRDefault="00B70263" w:rsidP="00B70263">
      <w:pPr>
        <w:spacing w:after="0" w:line="240" w:lineRule="auto"/>
        <w:rPr>
          <w:rFonts w:ascii="Century" w:hAnsi="Century" w:cstheme="minorHAnsi"/>
          <w:b/>
          <w:sz w:val="28"/>
          <w:szCs w:val="28"/>
        </w:rPr>
      </w:pPr>
    </w:p>
    <w:p w14:paraId="4C67BD7D" w14:textId="77777777" w:rsidR="00B70263" w:rsidRPr="00141F3A" w:rsidRDefault="00B70263" w:rsidP="00B70263">
      <w:pPr>
        <w:spacing w:after="0" w:line="240" w:lineRule="auto"/>
        <w:rPr>
          <w:rFonts w:ascii="Century" w:hAnsi="Century" w:cstheme="minorHAnsi"/>
          <w:i/>
          <w:sz w:val="24"/>
          <w:szCs w:val="24"/>
        </w:rPr>
      </w:pPr>
      <w:r w:rsidRPr="00141F3A">
        <w:rPr>
          <w:rFonts w:ascii="Century" w:hAnsi="Century" w:cstheme="minorHAnsi"/>
          <w:i/>
          <w:sz w:val="24"/>
          <w:szCs w:val="24"/>
        </w:rPr>
        <w:t>Preface - The Shifting Tides of Society</w:t>
      </w:r>
    </w:p>
    <w:p w14:paraId="42DD46F1" w14:textId="77777777" w:rsidR="00B70263" w:rsidRPr="00141F3A" w:rsidRDefault="00B70263" w:rsidP="00B70263">
      <w:pPr>
        <w:spacing w:after="0" w:line="240" w:lineRule="auto"/>
        <w:rPr>
          <w:rFonts w:ascii="Century" w:hAnsi="Century" w:cstheme="minorHAnsi"/>
          <w:sz w:val="24"/>
          <w:szCs w:val="24"/>
        </w:rPr>
      </w:pPr>
    </w:p>
    <w:p w14:paraId="3DF76B62" w14:textId="77777777" w:rsidR="00B70263" w:rsidRPr="00141F3A" w:rsidRDefault="00B70263" w:rsidP="00B70263">
      <w:pPr>
        <w:spacing w:after="0" w:line="240" w:lineRule="auto"/>
        <w:rPr>
          <w:rFonts w:ascii="Century" w:hAnsi="Century" w:cstheme="minorHAnsi"/>
          <w:sz w:val="24"/>
          <w:szCs w:val="24"/>
        </w:rPr>
      </w:pPr>
      <w:r w:rsidRPr="00141F3A">
        <w:rPr>
          <w:rFonts w:ascii="Century" w:hAnsi="Century" w:cstheme="minorHAnsi"/>
          <w:sz w:val="24"/>
          <w:szCs w:val="24"/>
        </w:rPr>
        <w:t>Introduction</w:t>
      </w:r>
    </w:p>
    <w:p w14:paraId="57DF74A7" w14:textId="77777777" w:rsidR="00B70263" w:rsidRPr="00141F3A" w:rsidRDefault="00B70263" w:rsidP="00B70263">
      <w:pPr>
        <w:spacing w:after="0" w:line="240" w:lineRule="auto"/>
        <w:rPr>
          <w:rFonts w:ascii="Century" w:hAnsi="Century" w:cstheme="minorHAnsi"/>
          <w:sz w:val="24"/>
          <w:szCs w:val="24"/>
        </w:rPr>
      </w:pPr>
    </w:p>
    <w:p w14:paraId="328B13A5"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1: The Birth Control Pill: Empowerment and Autonomy</w:t>
      </w:r>
    </w:p>
    <w:p w14:paraId="1C7D66C7"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2: Abortion Rates: Autonomy and Controversy</w:t>
      </w:r>
    </w:p>
    <w:p w14:paraId="11DC9EDC"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3: The Sexual Revolution and LGBTQ+ Inclusion: Breaking Boundaries</w:t>
      </w:r>
    </w:p>
    <w:p w14:paraId="57C72B19"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4: Gun Violence and Firearm Deaths: A Masculine Crisis</w:t>
      </w:r>
    </w:p>
    <w:p w14:paraId="0ECD3B5F"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5: War Deaths: Eroding the Traditional Protector Role</w:t>
      </w:r>
    </w:p>
    <w:p w14:paraId="726B6474"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6: Male Suicide Rates: Mental Health in Crisis</w:t>
      </w:r>
    </w:p>
    <w:p w14:paraId="1CF9B825"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7: Homelessness: Gendered Inequities in Social Safety Nets</w:t>
      </w:r>
    </w:p>
    <w:p w14:paraId="331A1C9D"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8: Marriage Rates: The Decline of Traditional Family Structures</w:t>
      </w:r>
    </w:p>
    <w:p w14:paraId="0BC87D38"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9: Education and Workforce Participation: Women on the Rise</w:t>
      </w:r>
    </w:p>
    <w:p w14:paraId="25787A14"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 xml:space="preserve">Chapter 10: </w:t>
      </w:r>
      <w:r w:rsidR="00A849DA" w:rsidRPr="00141F3A">
        <w:rPr>
          <w:rFonts w:ascii="Century" w:hAnsi="Century" w:cstheme="minorHAnsi"/>
          <w:sz w:val="24"/>
          <w:szCs w:val="24"/>
        </w:rPr>
        <w:t>‘Woke”</w:t>
      </w:r>
      <w:r w:rsidRPr="00141F3A">
        <w:rPr>
          <w:rFonts w:ascii="Century" w:hAnsi="Century" w:cstheme="minorHAnsi"/>
          <w:sz w:val="24"/>
          <w:szCs w:val="24"/>
        </w:rPr>
        <w:t xml:space="preserve"> Policies and Cultural Trends: A Challenge to Tradition</w:t>
      </w:r>
    </w:p>
    <w:p w14:paraId="19F0159A"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11: Economic Shifts: The Decline of Male-Dominated Industries</w:t>
      </w:r>
    </w:p>
    <w:p w14:paraId="2A798199"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12: Media Representation: Redefining Masculinity</w:t>
      </w:r>
    </w:p>
    <w:p w14:paraId="126D9D75"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13: Health and Longevity: Women Outliving Men</w:t>
      </w:r>
    </w:p>
    <w:p w14:paraId="123E40F0"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14: Policy and Legal Changes: Reshaping Family and Work</w:t>
      </w:r>
    </w:p>
    <w:p w14:paraId="794DE9D6"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15: Firearm-Related Male Deaths: Societal Vulnerabilities</w:t>
      </w:r>
    </w:p>
    <w:p w14:paraId="3D10AEDA" w14:textId="77777777" w:rsidR="00B70263" w:rsidRPr="00141F3A" w:rsidRDefault="00B70263" w:rsidP="00A849DA">
      <w:pPr>
        <w:spacing w:after="0" w:line="360" w:lineRule="auto"/>
        <w:rPr>
          <w:rFonts w:ascii="Century" w:hAnsi="Century" w:cstheme="minorHAnsi"/>
          <w:sz w:val="24"/>
          <w:szCs w:val="24"/>
        </w:rPr>
      </w:pPr>
      <w:r w:rsidRPr="00141F3A">
        <w:rPr>
          <w:rFonts w:ascii="Century" w:hAnsi="Century" w:cstheme="minorHAnsi"/>
          <w:sz w:val="24"/>
          <w:szCs w:val="24"/>
        </w:rPr>
        <w:t>Chapter 16: Feminization in North America: Comparing the United States and Canada</w:t>
      </w:r>
    </w:p>
    <w:p w14:paraId="4410C1A1" w14:textId="77777777" w:rsidR="00A72FE9" w:rsidRPr="00141F3A" w:rsidRDefault="00A72FE9" w:rsidP="00A849DA">
      <w:pPr>
        <w:spacing w:after="0" w:line="360" w:lineRule="auto"/>
        <w:rPr>
          <w:rFonts w:ascii="Century" w:hAnsi="Century" w:cstheme="minorHAnsi"/>
          <w:sz w:val="24"/>
          <w:szCs w:val="24"/>
        </w:rPr>
      </w:pPr>
      <w:r w:rsidRPr="00141F3A">
        <w:rPr>
          <w:rFonts w:ascii="Century" w:hAnsi="Century" w:cstheme="minorHAnsi"/>
          <w:sz w:val="24"/>
          <w:szCs w:val="24"/>
        </w:rPr>
        <w:t xml:space="preserve">Chapter 17: When is Enough </w:t>
      </w:r>
      <w:proofErr w:type="spellStart"/>
      <w:r w:rsidRPr="00141F3A">
        <w:rPr>
          <w:rFonts w:ascii="Century" w:hAnsi="Century" w:cstheme="minorHAnsi"/>
          <w:sz w:val="24"/>
          <w:szCs w:val="24"/>
        </w:rPr>
        <w:t>Enough</w:t>
      </w:r>
      <w:proofErr w:type="spellEnd"/>
      <w:r w:rsidRPr="00141F3A">
        <w:rPr>
          <w:rFonts w:ascii="Century" w:hAnsi="Century" w:cstheme="minorHAnsi"/>
          <w:sz w:val="24"/>
          <w:szCs w:val="24"/>
        </w:rPr>
        <w:t>?</w:t>
      </w:r>
      <w:r w:rsidR="00A53B72" w:rsidRPr="00141F3A">
        <w:rPr>
          <w:rFonts w:ascii="Century" w:hAnsi="Century" w:cstheme="minorHAnsi"/>
          <w:sz w:val="24"/>
          <w:szCs w:val="24"/>
        </w:rPr>
        <w:t xml:space="preserve"> Exploring the Bounds of Feminization</w:t>
      </w:r>
    </w:p>
    <w:p w14:paraId="51E10E8F" w14:textId="77777777" w:rsidR="00B70263" w:rsidRPr="00141F3A" w:rsidRDefault="00B70263" w:rsidP="00B70263">
      <w:pPr>
        <w:spacing w:after="0" w:line="240" w:lineRule="auto"/>
        <w:rPr>
          <w:rFonts w:ascii="Century" w:hAnsi="Century" w:cstheme="minorHAnsi"/>
          <w:sz w:val="24"/>
          <w:szCs w:val="24"/>
        </w:rPr>
      </w:pPr>
    </w:p>
    <w:p w14:paraId="41F87252" w14:textId="77777777" w:rsidR="00B70263" w:rsidRPr="00141F3A" w:rsidRDefault="00B70263" w:rsidP="00B70263">
      <w:pPr>
        <w:spacing w:after="0" w:line="240" w:lineRule="auto"/>
        <w:rPr>
          <w:rFonts w:ascii="Century" w:hAnsi="Century" w:cstheme="minorHAnsi"/>
          <w:i/>
          <w:sz w:val="24"/>
          <w:szCs w:val="24"/>
        </w:rPr>
      </w:pPr>
      <w:r w:rsidRPr="00141F3A">
        <w:rPr>
          <w:rFonts w:ascii="Century" w:hAnsi="Century" w:cstheme="minorHAnsi"/>
          <w:i/>
          <w:sz w:val="24"/>
          <w:szCs w:val="24"/>
        </w:rPr>
        <w:t>Epilogue - Toward a Balanced Future</w:t>
      </w:r>
    </w:p>
    <w:p w14:paraId="73467C9E" w14:textId="77777777" w:rsidR="00B70263" w:rsidRPr="00141F3A" w:rsidRDefault="00B70263" w:rsidP="00B70263">
      <w:pPr>
        <w:spacing w:after="0" w:line="240" w:lineRule="auto"/>
        <w:rPr>
          <w:rFonts w:ascii="Century" w:hAnsi="Century" w:cstheme="minorHAnsi"/>
          <w:sz w:val="24"/>
          <w:szCs w:val="24"/>
        </w:rPr>
      </w:pPr>
    </w:p>
    <w:p w14:paraId="7227A884" w14:textId="77777777" w:rsidR="00B70263" w:rsidRPr="00141F3A" w:rsidRDefault="00B70263" w:rsidP="00B70263">
      <w:pPr>
        <w:spacing w:after="0" w:line="240" w:lineRule="auto"/>
        <w:rPr>
          <w:rFonts w:ascii="Century" w:hAnsi="Century" w:cstheme="minorHAnsi"/>
          <w:i/>
          <w:sz w:val="24"/>
          <w:szCs w:val="24"/>
        </w:rPr>
      </w:pPr>
      <w:r w:rsidRPr="00141F3A">
        <w:rPr>
          <w:rFonts w:ascii="Century" w:hAnsi="Century" w:cstheme="minorHAnsi"/>
          <w:i/>
          <w:sz w:val="24"/>
          <w:szCs w:val="24"/>
        </w:rPr>
        <w:t>Bibliography</w:t>
      </w:r>
    </w:p>
    <w:p w14:paraId="7678B82D" w14:textId="77777777" w:rsidR="00B70263" w:rsidRPr="00141F3A" w:rsidRDefault="00B70263" w:rsidP="00B70263">
      <w:pPr>
        <w:spacing w:after="0" w:line="240" w:lineRule="auto"/>
        <w:rPr>
          <w:rFonts w:ascii="Century" w:hAnsi="Century" w:cstheme="minorHAnsi"/>
          <w:b/>
          <w:sz w:val="24"/>
          <w:szCs w:val="24"/>
        </w:rPr>
      </w:pPr>
    </w:p>
    <w:p w14:paraId="103E89AA" w14:textId="77777777" w:rsidR="00B70263" w:rsidRPr="00141F3A" w:rsidRDefault="00B70263" w:rsidP="00B70263">
      <w:pPr>
        <w:rPr>
          <w:rFonts w:ascii="Century" w:hAnsi="Century" w:cstheme="minorHAnsi"/>
          <w:sz w:val="24"/>
          <w:szCs w:val="24"/>
        </w:rPr>
      </w:pPr>
      <w:r w:rsidRPr="00141F3A">
        <w:rPr>
          <w:rFonts w:ascii="Century" w:hAnsi="Century" w:cstheme="minorHAnsi"/>
          <w:sz w:val="24"/>
          <w:szCs w:val="24"/>
        </w:rPr>
        <w:br w:type="page"/>
      </w:r>
    </w:p>
    <w:p w14:paraId="4A340737" w14:textId="77777777" w:rsidR="00A849DA" w:rsidRPr="00141F3A" w:rsidRDefault="00B70263" w:rsidP="00B70263">
      <w:pPr>
        <w:spacing w:after="0" w:line="240" w:lineRule="auto"/>
        <w:rPr>
          <w:rFonts w:ascii="Century" w:hAnsi="Century" w:cstheme="minorHAnsi"/>
          <w:b/>
          <w:sz w:val="28"/>
          <w:szCs w:val="28"/>
        </w:rPr>
      </w:pPr>
      <w:r w:rsidRPr="00141F3A">
        <w:rPr>
          <w:rFonts w:ascii="Century" w:hAnsi="Century" w:cstheme="minorHAnsi"/>
          <w:b/>
          <w:sz w:val="28"/>
          <w:szCs w:val="28"/>
        </w:rPr>
        <w:lastRenderedPageBreak/>
        <w:t>Introduction</w:t>
      </w:r>
    </w:p>
    <w:p w14:paraId="49059542" w14:textId="77777777" w:rsidR="00A849DA" w:rsidRPr="00141F3A" w:rsidRDefault="00A849DA" w:rsidP="00B70263">
      <w:pPr>
        <w:spacing w:after="0" w:line="240" w:lineRule="auto"/>
        <w:rPr>
          <w:rFonts w:ascii="Century" w:hAnsi="Century" w:cstheme="minorHAnsi"/>
          <w:b/>
          <w:sz w:val="24"/>
          <w:szCs w:val="24"/>
        </w:rPr>
      </w:pPr>
    </w:p>
    <w:p w14:paraId="763BDB5E" w14:textId="77777777" w:rsidR="00B70263" w:rsidRPr="00141F3A" w:rsidRDefault="00B70263" w:rsidP="00B70263">
      <w:pPr>
        <w:spacing w:after="0" w:line="240" w:lineRule="auto"/>
        <w:rPr>
          <w:rFonts w:ascii="Century" w:hAnsi="Century" w:cstheme="minorHAnsi"/>
          <w:b/>
          <w:sz w:val="24"/>
          <w:szCs w:val="24"/>
        </w:rPr>
      </w:pPr>
      <w:r w:rsidRPr="00141F3A">
        <w:rPr>
          <w:rFonts w:ascii="Century" w:hAnsi="Century" w:cstheme="minorHAnsi"/>
          <w:b/>
          <w:sz w:val="24"/>
          <w:szCs w:val="24"/>
        </w:rPr>
        <w:t>Redefining a World in Transition</w:t>
      </w:r>
    </w:p>
    <w:p w14:paraId="715B8F8B" w14:textId="77777777" w:rsidR="00B70263" w:rsidRPr="00141F3A" w:rsidRDefault="00B70263" w:rsidP="00B70263">
      <w:pPr>
        <w:pStyle w:val="NormalWeb"/>
        <w:rPr>
          <w:rFonts w:ascii="Century" w:hAnsi="Century"/>
        </w:rPr>
      </w:pPr>
      <w:r w:rsidRPr="00141F3A">
        <w:rPr>
          <w:rFonts w:ascii="Century" w:hAnsi="Century"/>
        </w:rPr>
        <w:t>In the 21st century, the world stands at a pivotal juncture, where gender dynamics and societal roles are undergoing profound transformations. Feminization—the increasing influence of values traditionally associated with women, such as empathy, collaboration, and inclusivity—is redefining how societies function. This evolution is evident across every sphere of life, from education and work to media, governance, and family structures.</w:t>
      </w:r>
    </w:p>
    <w:p w14:paraId="609EC500" w14:textId="77777777" w:rsidR="00B70263" w:rsidRPr="00141F3A" w:rsidRDefault="00B70263" w:rsidP="00B70263">
      <w:pPr>
        <w:pStyle w:val="NormalWeb"/>
        <w:rPr>
          <w:rFonts w:ascii="Century" w:hAnsi="Century"/>
        </w:rPr>
      </w:pPr>
      <w:r w:rsidRPr="00141F3A">
        <w:rPr>
          <w:rFonts w:ascii="Century" w:hAnsi="Century"/>
        </w:rPr>
        <w:t>As someone deeply invested in exploring the forces shaping our society, I wrote this book to provide a nuanced perspective on feminization. The goal is not to promote one set of values over another but to analyze the shifts, their causes, and their impacts. The book delves into the challenges and opportunities these changes present, with a particular focus on the interplay between masculinity and femininity, and the balance needed to foster an equitable and inclusive world.</w:t>
      </w:r>
    </w:p>
    <w:p w14:paraId="45F8746E" w14:textId="77777777" w:rsidR="00B70263" w:rsidRPr="00141F3A" w:rsidRDefault="00B70263" w:rsidP="00B70263">
      <w:pPr>
        <w:pStyle w:val="NormalWeb"/>
        <w:rPr>
          <w:rFonts w:ascii="Century" w:hAnsi="Century"/>
        </w:rPr>
      </w:pPr>
      <w:r w:rsidRPr="00141F3A">
        <w:rPr>
          <w:rFonts w:ascii="Century" w:hAnsi="Century"/>
        </w:rPr>
        <w:t>Throughout the chapters, you will find data-driven insights, comparative analyses of the United States and Canada, and reflections on the broader global implications of these shifts. By understanding the complexities of feminization, we can engage in meaningful dialogue and collectively navigate the changes shaping our future.</w:t>
      </w:r>
    </w:p>
    <w:p w14:paraId="67977B39" w14:textId="77777777" w:rsidR="00B70263" w:rsidRPr="00141F3A" w:rsidRDefault="00B70263" w:rsidP="00A72FE9">
      <w:pPr>
        <w:pStyle w:val="NormalWeb"/>
        <w:rPr>
          <w:rFonts w:ascii="Century" w:hAnsi="Century" w:cstheme="minorHAnsi"/>
        </w:rPr>
      </w:pPr>
      <w:r w:rsidRPr="00141F3A">
        <w:rPr>
          <w:rFonts w:ascii="Century" w:hAnsi="Century"/>
        </w:rPr>
        <w:t>Whether you’re a policymaker, educator, business leader, or an individual curious about the transformations in our world, I invite you to join me in exploring this critical topic.</w:t>
      </w:r>
    </w:p>
    <w:p w14:paraId="395F1CB0" w14:textId="77777777" w:rsidR="00B70263" w:rsidRPr="00141F3A" w:rsidRDefault="00B70263" w:rsidP="00B70263">
      <w:pPr>
        <w:spacing w:after="0" w:line="240" w:lineRule="auto"/>
        <w:ind w:left="108"/>
        <w:jc w:val="center"/>
        <w:rPr>
          <w:rFonts w:ascii="Century" w:hAnsi="Century" w:cstheme="minorHAnsi"/>
          <w:sz w:val="24"/>
          <w:szCs w:val="24"/>
        </w:rPr>
      </w:pPr>
    </w:p>
    <w:p w14:paraId="10DC63C2" w14:textId="77777777" w:rsidR="00B70263" w:rsidRPr="00141F3A" w:rsidRDefault="00B70263" w:rsidP="00B70263">
      <w:pPr>
        <w:rPr>
          <w:rFonts w:ascii="Century" w:hAnsi="Century" w:cstheme="minorHAnsi"/>
          <w:sz w:val="24"/>
          <w:szCs w:val="24"/>
        </w:rPr>
      </w:pPr>
      <w:r w:rsidRPr="00141F3A">
        <w:rPr>
          <w:rFonts w:ascii="Century" w:hAnsi="Century" w:cstheme="minorHAnsi"/>
          <w:sz w:val="24"/>
          <w:szCs w:val="24"/>
        </w:rPr>
        <w:br w:type="page"/>
      </w:r>
    </w:p>
    <w:p w14:paraId="71EBB874" w14:textId="77777777" w:rsidR="00B70263" w:rsidRPr="00141F3A" w:rsidRDefault="00B70263" w:rsidP="00B70263">
      <w:pPr>
        <w:spacing w:after="0" w:line="240" w:lineRule="auto"/>
        <w:rPr>
          <w:rFonts w:ascii="Century" w:hAnsi="Century" w:cstheme="minorHAnsi"/>
          <w:b/>
          <w:sz w:val="28"/>
          <w:szCs w:val="28"/>
        </w:rPr>
      </w:pPr>
      <w:r w:rsidRPr="00141F3A">
        <w:rPr>
          <w:rFonts w:ascii="Century" w:hAnsi="Century" w:cstheme="minorHAnsi"/>
          <w:b/>
          <w:sz w:val="28"/>
          <w:szCs w:val="28"/>
        </w:rPr>
        <w:lastRenderedPageBreak/>
        <w:t>Chapter 1: The Birth Control Pill: Redefining Power and Freedom</w:t>
      </w:r>
    </w:p>
    <w:p w14:paraId="7B103612" w14:textId="77777777" w:rsidR="00B70263" w:rsidRPr="00141F3A" w:rsidRDefault="00B70263" w:rsidP="00B70263">
      <w:pPr>
        <w:pStyle w:val="NormalWeb"/>
        <w:rPr>
          <w:rFonts w:ascii="Century" w:hAnsi="Century"/>
        </w:rPr>
      </w:pPr>
      <w:r w:rsidRPr="00141F3A">
        <w:rPr>
          <w:rFonts w:ascii="Century" w:hAnsi="Century"/>
        </w:rPr>
        <w:t>The introduction of the birth control pill in the early 1960s was a pivotal moment in modern social and medical history, marking a profound shift in female autonomy and societal structures. The pill was not merely a new contraceptive method; it served as a catalyst for transformation in gender relations and socio-economic frameworks worldwide.</w:t>
      </w:r>
    </w:p>
    <w:p w14:paraId="37F73B2A" w14:textId="77777777" w:rsidR="00B70263" w:rsidRPr="00141F3A" w:rsidRDefault="00B70263" w:rsidP="00B70263">
      <w:pPr>
        <w:pStyle w:val="NormalWeb"/>
        <w:rPr>
          <w:rFonts w:ascii="Century" w:hAnsi="Century"/>
        </w:rPr>
      </w:pPr>
      <w:r w:rsidRPr="00141F3A">
        <w:rPr>
          <w:rStyle w:val="Strong"/>
          <w:rFonts w:ascii="Century" w:hAnsi="Century"/>
        </w:rPr>
        <w:t>Historical Context and Development</w:t>
      </w:r>
    </w:p>
    <w:p w14:paraId="22A58005" w14:textId="77777777" w:rsidR="00B70263" w:rsidRPr="00141F3A" w:rsidRDefault="00B70263" w:rsidP="00B70263">
      <w:pPr>
        <w:pStyle w:val="NormalWeb"/>
        <w:rPr>
          <w:rFonts w:ascii="Century" w:hAnsi="Century"/>
        </w:rPr>
      </w:pPr>
      <w:r w:rsidRPr="00141F3A">
        <w:rPr>
          <w:rFonts w:ascii="Century" w:hAnsi="Century"/>
        </w:rPr>
        <w:t>The U.S. Food and Drug Administration’s approval of the birth control pill in 1960 represented the culmination of a concerted effort blending scientific innovation, feminist advocacy, and societal demand for reproductive control. This medical breakthrough was perceived as a gateway to personal freedom and economic independence for women (Watkins, 1965).</w:t>
      </w:r>
    </w:p>
    <w:p w14:paraId="422CF76A" w14:textId="77777777" w:rsidR="00B70263" w:rsidRPr="00141F3A" w:rsidRDefault="00B70263" w:rsidP="00B70263">
      <w:pPr>
        <w:pStyle w:val="NormalWeb"/>
        <w:rPr>
          <w:rFonts w:ascii="Century" w:hAnsi="Century"/>
        </w:rPr>
      </w:pPr>
      <w:r w:rsidRPr="00141F3A">
        <w:rPr>
          <w:rStyle w:val="Strong"/>
          <w:rFonts w:ascii="Century" w:hAnsi="Century"/>
        </w:rPr>
        <w:t>Adoption and Societal Impact</w:t>
      </w:r>
    </w:p>
    <w:p w14:paraId="521C6ECE" w14:textId="77777777" w:rsidR="00B70263" w:rsidRPr="00141F3A" w:rsidRDefault="00B70263" w:rsidP="00B70263">
      <w:pPr>
        <w:pStyle w:val="NormalWeb"/>
        <w:rPr>
          <w:rFonts w:ascii="Century" w:hAnsi="Century"/>
        </w:rPr>
      </w:pPr>
      <w:r w:rsidRPr="00141F3A">
        <w:rPr>
          <w:rFonts w:ascii="Century" w:hAnsi="Century"/>
        </w:rPr>
        <w:t>The adoption of the birth control pill catalyzed what many scholars describe as a sexual revolution, decoupling sexuality from reproduction in unprecedented ways. By the end of the 20th century, oral contraceptives had become one of the most prevalent methods of birth control in the United States, used by millions to effectively plan their families and careers (CDC, 2021).</w:t>
      </w:r>
    </w:p>
    <w:p w14:paraId="27D3B1C0" w14:textId="77777777" w:rsidR="00B70263" w:rsidRPr="00141F3A" w:rsidRDefault="00B70263" w:rsidP="00B70263">
      <w:pPr>
        <w:pStyle w:val="NormalWeb"/>
        <w:rPr>
          <w:rFonts w:ascii="Century" w:hAnsi="Century"/>
        </w:rPr>
      </w:pPr>
      <w:r w:rsidRPr="00141F3A">
        <w:rPr>
          <w:rStyle w:val="Strong"/>
          <w:rFonts w:ascii="Century" w:hAnsi="Century"/>
        </w:rPr>
        <w:t>The Economic Emancipation</w:t>
      </w:r>
    </w:p>
    <w:p w14:paraId="7F56CF37" w14:textId="77777777" w:rsidR="00B70263" w:rsidRPr="00141F3A" w:rsidRDefault="00B70263" w:rsidP="00B70263">
      <w:pPr>
        <w:pStyle w:val="NormalWeb"/>
        <w:rPr>
          <w:rFonts w:ascii="Century" w:hAnsi="Century"/>
        </w:rPr>
      </w:pPr>
      <w:r w:rsidRPr="00141F3A">
        <w:rPr>
          <w:rFonts w:ascii="Century" w:hAnsi="Century"/>
        </w:rPr>
        <w:t>The pill's introduction significantly influenced women's participation in the workforce and higher education during the second half of the 20th century. Goldin and Katz (2002) illustrate that access to contraception was directly correlated with a marked increase in college graduation rates among women, which rose from 14% in the early 1960s to over 30% by the late 1980s. This shift not only altered labor market dynamics but also influenced economic policy and family planning practices.</w:t>
      </w:r>
    </w:p>
    <w:p w14:paraId="40586139" w14:textId="77777777" w:rsidR="00B70263" w:rsidRPr="00141F3A" w:rsidRDefault="00B70263" w:rsidP="00B70263">
      <w:pPr>
        <w:pStyle w:val="NormalWeb"/>
        <w:rPr>
          <w:rFonts w:ascii="Century" w:hAnsi="Century"/>
        </w:rPr>
      </w:pPr>
      <w:r w:rsidRPr="00141F3A">
        <w:rPr>
          <w:rStyle w:val="Strong"/>
          <w:rFonts w:ascii="Century" w:hAnsi="Century"/>
        </w:rPr>
        <w:t>Cultural and Social Repercussions</w:t>
      </w:r>
    </w:p>
    <w:p w14:paraId="1996A572" w14:textId="77777777" w:rsidR="00B70263" w:rsidRPr="00141F3A" w:rsidRDefault="00B70263" w:rsidP="00B70263">
      <w:pPr>
        <w:pStyle w:val="NormalWeb"/>
        <w:rPr>
          <w:rFonts w:ascii="Century" w:hAnsi="Century"/>
        </w:rPr>
      </w:pPr>
      <w:r w:rsidRPr="00141F3A">
        <w:rPr>
          <w:rFonts w:ascii="Century" w:hAnsi="Century"/>
        </w:rPr>
        <w:t>Beyond economic impacts, the pill fundamentally shifted societal norms concerning marriage, childbearing, and female sexual autonomy, fueling feminist movements that challenged traditional gender roles (Friedan, 1963; Greer, 1970). It redefined notions of femininity and masculinity, reshaping domestic landscapes and societal expectations.</w:t>
      </w:r>
    </w:p>
    <w:p w14:paraId="4355C2CE" w14:textId="77777777" w:rsidR="00B70263" w:rsidRPr="00141F3A" w:rsidRDefault="00B70263" w:rsidP="00B70263">
      <w:pPr>
        <w:pStyle w:val="NormalWeb"/>
        <w:rPr>
          <w:rFonts w:ascii="Century" w:hAnsi="Century"/>
        </w:rPr>
      </w:pPr>
      <w:r w:rsidRPr="00141F3A">
        <w:rPr>
          <w:rStyle w:val="Strong"/>
          <w:rFonts w:ascii="Century" w:hAnsi="Century"/>
        </w:rPr>
        <w:t>Continuing Challenges and Debates</w:t>
      </w:r>
    </w:p>
    <w:p w14:paraId="4C1F421C" w14:textId="77777777" w:rsidR="00B70263" w:rsidRPr="00141F3A" w:rsidRDefault="00B70263" w:rsidP="00B70263">
      <w:pPr>
        <w:pStyle w:val="NormalWeb"/>
        <w:rPr>
          <w:rFonts w:ascii="Century" w:hAnsi="Century"/>
        </w:rPr>
      </w:pPr>
      <w:r w:rsidRPr="00141F3A">
        <w:rPr>
          <w:rFonts w:ascii="Century" w:hAnsi="Century"/>
        </w:rPr>
        <w:t xml:space="preserve">Despite its transformative impacts, the birth control pill remains a focal point for ongoing social and ethical debates. Disparities in contraceptive use continue to </w:t>
      </w:r>
      <w:r w:rsidRPr="00141F3A">
        <w:rPr>
          <w:rFonts w:ascii="Century" w:hAnsi="Century"/>
        </w:rPr>
        <w:lastRenderedPageBreak/>
        <w:t>persist across different socio-economic and ethnic groups (Foster and Wertz, 2017). Furthermore, concerns about the medical risks associated with hormonal contraceptives continue to provoke debate among medical professionals and feminist scholars alike.</w:t>
      </w:r>
    </w:p>
    <w:p w14:paraId="66380DE0" w14:textId="77777777" w:rsidR="00B70263" w:rsidRPr="00141F3A" w:rsidRDefault="00B70263" w:rsidP="00B70263">
      <w:pPr>
        <w:pStyle w:val="NormalWeb"/>
        <w:rPr>
          <w:rFonts w:ascii="Century" w:hAnsi="Century"/>
        </w:rPr>
      </w:pPr>
      <w:r w:rsidRPr="00141F3A">
        <w:rPr>
          <w:rStyle w:val="Strong"/>
          <w:rFonts w:ascii="Century" w:hAnsi="Century"/>
        </w:rPr>
        <w:t>Conclusion</w:t>
      </w:r>
    </w:p>
    <w:p w14:paraId="0F794530" w14:textId="77777777" w:rsidR="00B70263" w:rsidRPr="00141F3A" w:rsidRDefault="00B70263" w:rsidP="00B70263">
      <w:pPr>
        <w:pStyle w:val="NormalWeb"/>
        <w:rPr>
          <w:rFonts w:ascii="Century" w:hAnsi="Century"/>
        </w:rPr>
      </w:pPr>
      <w:r w:rsidRPr="00141F3A">
        <w:rPr>
          <w:rFonts w:ascii="Century" w:hAnsi="Century"/>
        </w:rPr>
        <w:t>The introduction of the birth control pill was a defining moment of the 20th century, reshaping societal norms, economic structures, and debates around gender and health. Its enduring legacy highlights the intricate interplay between technology, society, and individual agency, offering enduring insights into the challenges of innovation and the dynamics of social change.</w:t>
      </w:r>
    </w:p>
    <w:p w14:paraId="3A5FEAC0" w14:textId="77777777" w:rsidR="00B70263" w:rsidRPr="00141F3A" w:rsidRDefault="00B70263">
      <w:pPr>
        <w:rPr>
          <w:rFonts w:ascii="Century" w:eastAsia="Times New Roman" w:hAnsi="Century" w:cs="Times New Roman"/>
          <w:sz w:val="24"/>
          <w:szCs w:val="24"/>
        </w:rPr>
      </w:pPr>
      <w:r w:rsidRPr="00141F3A">
        <w:rPr>
          <w:rFonts w:ascii="Century" w:hAnsi="Century"/>
        </w:rPr>
        <w:br w:type="page"/>
      </w:r>
    </w:p>
    <w:p w14:paraId="0CBD96F4" w14:textId="77777777" w:rsidR="00B70263" w:rsidRPr="00141F3A" w:rsidRDefault="00B70263" w:rsidP="00B70263">
      <w:pPr>
        <w:pStyle w:val="NormalWeb"/>
        <w:rPr>
          <w:rFonts w:ascii="Century" w:hAnsi="Century"/>
          <w:sz w:val="28"/>
          <w:szCs w:val="28"/>
        </w:rPr>
      </w:pPr>
      <w:r w:rsidRPr="00141F3A">
        <w:rPr>
          <w:rStyle w:val="Strong"/>
          <w:rFonts w:ascii="Century" w:hAnsi="Century"/>
          <w:sz w:val="28"/>
          <w:szCs w:val="28"/>
        </w:rPr>
        <w:lastRenderedPageBreak/>
        <w:t>Chapter 2: Abortion Rates: Autonomy and Controversy</w:t>
      </w:r>
    </w:p>
    <w:p w14:paraId="6054C1E4" w14:textId="77777777" w:rsidR="00B70263" w:rsidRPr="00141F3A" w:rsidRDefault="00B70263" w:rsidP="00B70263">
      <w:pPr>
        <w:pStyle w:val="NormalWeb"/>
        <w:rPr>
          <w:rFonts w:ascii="Century" w:hAnsi="Century"/>
        </w:rPr>
      </w:pPr>
      <w:r w:rsidRPr="00141F3A">
        <w:rPr>
          <w:rFonts w:ascii="Century" w:hAnsi="Century"/>
        </w:rPr>
        <w:t>The availability and regulation of abortion have been at the heart of one of the most enduring and contentious debates in modern society. This chapter examines the impact of legal and accessible abortion on women's autonomy and societal structures, alongside the ethical, political, and social controversies it continues to engender.</w:t>
      </w:r>
    </w:p>
    <w:p w14:paraId="2E9F2AF6" w14:textId="77777777" w:rsidR="00B70263" w:rsidRPr="00141F3A" w:rsidRDefault="00B70263" w:rsidP="00B70263">
      <w:pPr>
        <w:pStyle w:val="NormalWeb"/>
        <w:rPr>
          <w:rFonts w:ascii="Century" w:hAnsi="Century"/>
        </w:rPr>
      </w:pPr>
      <w:r w:rsidRPr="00141F3A">
        <w:rPr>
          <w:rStyle w:val="Strong"/>
          <w:rFonts w:ascii="Century" w:hAnsi="Century"/>
        </w:rPr>
        <w:t>Historical Overview</w:t>
      </w:r>
    </w:p>
    <w:p w14:paraId="2B3FDEC2" w14:textId="77777777" w:rsidR="00B70263" w:rsidRPr="00141F3A" w:rsidRDefault="00B70263" w:rsidP="00B70263">
      <w:pPr>
        <w:pStyle w:val="NormalWeb"/>
        <w:rPr>
          <w:rFonts w:ascii="Century" w:hAnsi="Century"/>
        </w:rPr>
      </w:pPr>
      <w:r w:rsidRPr="00141F3A">
        <w:rPr>
          <w:rFonts w:ascii="Century" w:hAnsi="Century"/>
        </w:rPr>
        <w:t>The legalization of abortion in many countries during the latter half of the 20th century marked a significant shift in women's health and reproductive rights. In the United States, the landmark 1973 Supreme Court decision Roe v. Wade established a woman's legal right to choose abortion, setting a precedent for arguments centered on privacy and bodily autonomy (Roe v. Wade, 1973).</w:t>
      </w:r>
    </w:p>
    <w:p w14:paraId="4C518594" w14:textId="77777777" w:rsidR="00B70263" w:rsidRPr="00141F3A" w:rsidRDefault="00B70263" w:rsidP="00B70263">
      <w:pPr>
        <w:pStyle w:val="NormalWeb"/>
        <w:rPr>
          <w:rFonts w:ascii="Century" w:hAnsi="Century"/>
        </w:rPr>
      </w:pPr>
      <w:r w:rsidRPr="00141F3A">
        <w:rPr>
          <w:rStyle w:val="Strong"/>
          <w:rFonts w:ascii="Century" w:hAnsi="Century"/>
        </w:rPr>
        <w:t>Statistical Insights and Societal Impact</w:t>
      </w:r>
    </w:p>
    <w:p w14:paraId="6E7E5515" w14:textId="77777777" w:rsidR="00B70263" w:rsidRPr="00141F3A" w:rsidRDefault="00B70263" w:rsidP="00B70263">
      <w:pPr>
        <w:pStyle w:val="NormalWeb"/>
        <w:rPr>
          <w:rFonts w:ascii="Century" w:hAnsi="Century"/>
        </w:rPr>
      </w:pPr>
      <w:r w:rsidRPr="00141F3A">
        <w:rPr>
          <w:rFonts w:ascii="Century" w:hAnsi="Century"/>
        </w:rPr>
        <w:t>Following the legalization of abortion, numerous studies have documented its impact on aspects of societal well-being and women's health. According to the Guttmacher Institute (2022), approximately 25% of women in the U.S. will have an abortion by age 45. The availability of legal abortion has also been linked to outcomes such as reduced maternal mortality and greater participation of women in the workforce (Jones and Jerman, 2017).</w:t>
      </w:r>
    </w:p>
    <w:p w14:paraId="7F92EA0E" w14:textId="77777777" w:rsidR="00B70263" w:rsidRPr="00141F3A" w:rsidRDefault="00B70263" w:rsidP="00B70263">
      <w:pPr>
        <w:pStyle w:val="NormalWeb"/>
        <w:rPr>
          <w:rFonts w:ascii="Century" w:hAnsi="Century"/>
        </w:rPr>
      </w:pPr>
      <w:r w:rsidRPr="00141F3A">
        <w:rPr>
          <w:rStyle w:val="Strong"/>
          <w:rFonts w:ascii="Century" w:hAnsi="Century"/>
        </w:rPr>
        <w:t>Economic Implications</w:t>
      </w:r>
    </w:p>
    <w:p w14:paraId="422A1CC9" w14:textId="77777777" w:rsidR="00B70263" w:rsidRPr="00141F3A" w:rsidRDefault="00B70263" w:rsidP="00B70263">
      <w:pPr>
        <w:pStyle w:val="NormalWeb"/>
        <w:rPr>
          <w:rFonts w:ascii="Century" w:hAnsi="Century"/>
        </w:rPr>
      </w:pPr>
      <w:r w:rsidRPr="00141F3A">
        <w:rPr>
          <w:rFonts w:ascii="Century" w:hAnsi="Century"/>
        </w:rPr>
        <w:t>The economic ramifications of accessible abortion are profound. Research indicates that women who have access to abortion are more likely to achieve higher educational levels and attain better-paying jobs. A study by the American Economic Review (2011) found that access to abortion resulted in a 20% increase in the likelihood of attending college and a 40% increase in the likelihood of entering a professional occupation.</w:t>
      </w:r>
    </w:p>
    <w:p w14:paraId="649F350B" w14:textId="77777777" w:rsidR="00B70263" w:rsidRPr="00141F3A" w:rsidRDefault="00B70263" w:rsidP="00B70263">
      <w:pPr>
        <w:pStyle w:val="NormalWeb"/>
        <w:rPr>
          <w:rFonts w:ascii="Century" w:hAnsi="Century"/>
        </w:rPr>
      </w:pPr>
      <w:r w:rsidRPr="00141F3A">
        <w:rPr>
          <w:rStyle w:val="Strong"/>
          <w:rFonts w:ascii="Century" w:hAnsi="Century"/>
        </w:rPr>
        <w:t>Cultural and Social Repercussions</w:t>
      </w:r>
    </w:p>
    <w:p w14:paraId="4AC2C1A9" w14:textId="77777777" w:rsidR="00B70263" w:rsidRPr="00141F3A" w:rsidRDefault="00B70263" w:rsidP="00B70263">
      <w:pPr>
        <w:pStyle w:val="NormalWeb"/>
        <w:rPr>
          <w:rFonts w:ascii="Century" w:hAnsi="Century"/>
        </w:rPr>
      </w:pPr>
      <w:r w:rsidRPr="00141F3A">
        <w:rPr>
          <w:rFonts w:ascii="Century" w:hAnsi="Century"/>
        </w:rPr>
        <w:t>Abortion's legalization has also had substantial cultural and social impacts. It has reshaped societal expectations around motherhood, career, and gender roles, contributing to what some scholars describe as a redefinition of the family structure. However, it has also ignited significant backlash and polarized public opinion, as debates over moral and ethical considerations continue to dominate public discourse (Foster and Wertz, 2017).</w:t>
      </w:r>
    </w:p>
    <w:p w14:paraId="2C8C41FE" w14:textId="77777777" w:rsidR="00B70263" w:rsidRPr="00141F3A" w:rsidRDefault="00B70263" w:rsidP="00B70263">
      <w:pPr>
        <w:pStyle w:val="NormalWeb"/>
        <w:rPr>
          <w:rFonts w:ascii="Century" w:hAnsi="Century"/>
        </w:rPr>
      </w:pPr>
      <w:r w:rsidRPr="00141F3A">
        <w:rPr>
          <w:rStyle w:val="Strong"/>
          <w:rFonts w:ascii="Century" w:hAnsi="Century"/>
        </w:rPr>
        <w:t>Ongoing Debates and Challenges</w:t>
      </w:r>
    </w:p>
    <w:p w14:paraId="1BCC7FB2" w14:textId="77777777" w:rsidR="00B70263" w:rsidRPr="00141F3A" w:rsidRDefault="00B70263" w:rsidP="00B70263">
      <w:pPr>
        <w:pStyle w:val="NormalWeb"/>
        <w:rPr>
          <w:rFonts w:ascii="Century" w:hAnsi="Century"/>
        </w:rPr>
      </w:pPr>
      <w:r w:rsidRPr="00141F3A">
        <w:rPr>
          <w:rFonts w:ascii="Century" w:hAnsi="Century"/>
        </w:rPr>
        <w:lastRenderedPageBreak/>
        <w:t>The discourse surrounding abortion remains fraught with controversy. The overturning of Roe v. Wade by the Dobbs v. Jackson Women's Health Organization decision in 2022 has reignited debates over states' rights and federal oversight, illustrating the volatile intersection of health care, law, and politics (Dobbs v. Jackson Women's Health Organization, 2022).</w:t>
      </w:r>
    </w:p>
    <w:p w14:paraId="0F4BA203" w14:textId="77777777" w:rsidR="00B70263" w:rsidRPr="00141F3A" w:rsidRDefault="00B70263" w:rsidP="00B70263">
      <w:pPr>
        <w:pStyle w:val="NormalWeb"/>
        <w:rPr>
          <w:rFonts w:ascii="Century" w:hAnsi="Century"/>
        </w:rPr>
      </w:pPr>
      <w:r w:rsidRPr="00141F3A">
        <w:rPr>
          <w:rStyle w:val="Strong"/>
          <w:rFonts w:ascii="Century" w:hAnsi="Century"/>
        </w:rPr>
        <w:t>Conclusion</w:t>
      </w:r>
    </w:p>
    <w:p w14:paraId="63931877" w14:textId="77777777" w:rsidR="00B70263" w:rsidRPr="00141F3A" w:rsidRDefault="00B70263" w:rsidP="00B70263">
      <w:pPr>
        <w:pStyle w:val="NormalWeb"/>
        <w:rPr>
          <w:rFonts w:ascii="Century" w:hAnsi="Century"/>
        </w:rPr>
      </w:pPr>
      <w:r w:rsidRPr="00141F3A">
        <w:rPr>
          <w:rFonts w:ascii="Century" w:hAnsi="Century"/>
        </w:rPr>
        <w:t>The issue of abortion encapsulates a complex interplay of autonomy, ethics, and societal norms. As policies and public opinions evolve, the implications of abortion on societal structures, individual lives, and political landscapes continue to provoke significant debate and division. Understanding the multifaceted impacts of abortion is essential for navigating the ethical landscapes and policy frameworks that shape reproductive rights.</w:t>
      </w:r>
    </w:p>
    <w:p w14:paraId="1D1E8318" w14:textId="77777777" w:rsidR="00B70263" w:rsidRPr="00141F3A" w:rsidRDefault="00B70263">
      <w:pPr>
        <w:rPr>
          <w:rFonts w:ascii="Century" w:eastAsia="Times New Roman" w:hAnsi="Century" w:cs="Times New Roman"/>
          <w:sz w:val="24"/>
          <w:szCs w:val="24"/>
        </w:rPr>
      </w:pPr>
      <w:r w:rsidRPr="00141F3A">
        <w:rPr>
          <w:rFonts w:ascii="Century" w:hAnsi="Century"/>
        </w:rPr>
        <w:br w:type="page"/>
      </w:r>
    </w:p>
    <w:p w14:paraId="3697FED8" w14:textId="77777777" w:rsidR="00B70263" w:rsidRPr="00141F3A" w:rsidRDefault="00B70263" w:rsidP="00B70263">
      <w:pPr>
        <w:pStyle w:val="NormalWeb"/>
        <w:rPr>
          <w:rFonts w:ascii="Century" w:hAnsi="Century"/>
          <w:sz w:val="28"/>
          <w:szCs w:val="28"/>
        </w:rPr>
      </w:pPr>
      <w:r w:rsidRPr="00141F3A">
        <w:rPr>
          <w:rStyle w:val="Strong"/>
          <w:rFonts w:ascii="Century" w:hAnsi="Century"/>
          <w:sz w:val="28"/>
          <w:szCs w:val="28"/>
        </w:rPr>
        <w:lastRenderedPageBreak/>
        <w:t>Chapter 3: The Sexual Revolution and LGBTQ+ Inclusion: Breaking Boundaries</w:t>
      </w:r>
    </w:p>
    <w:p w14:paraId="0018771E" w14:textId="77777777" w:rsidR="00B70263" w:rsidRPr="00141F3A" w:rsidRDefault="00B70263" w:rsidP="00B70263">
      <w:pPr>
        <w:pStyle w:val="NormalWeb"/>
        <w:rPr>
          <w:rFonts w:ascii="Century" w:hAnsi="Century"/>
        </w:rPr>
      </w:pPr>
      <w:r w:rsidRPr="00141F3A">
        <w:rPr>
          <w:rFonts w:ascii="Century" w:hAnsi="Century"/>
        </w:rPr>
        <w:t>The sexual revolution of the 1960s and 1970s marked a profound shift in societal attitudes towards sexuality and gender identity, paving the way for the later inclusion of LGBTQ+ rights into mainstream discourse. This chapter explores how these movements reshaped social norms, impacted legal frameworks, and influenced cultural dynamics across the globe.</w:t>
      </w:r>
    </w:p>
    <w:p w14:paraId="459E7AC9" w14:textId="77777777" w:rsidR="00B70263" w:rsidRPr="00141F3A" w:rsidRDefault="00B70263" w:rsidP="00B70263">
      <w:pPr>
        <w:pStyle w:val="NormalWeb"/>
        <w:rPr>
          <w:rFonts w:ascii="Century" w:hAnsi="Century"/>
        </w:rPr>
      </w:pPr>
      <w:r w:rsidRPr="00141F3A">
        <w:rPr>
          <w:rStyle w:val="Strong"/>
          <w:rFonts w:ascii="Century" w:hAnsi="Century"/>
        </w:rPr>
        <w:t>Historical Context</w:t>
      </w:r>
    </w:p>
    <w:p w14:paraId="6BD95666" w14:textId="77777777" w:rsidR="00B70263" w:rsidRPr="00141F3A" w:rsidRDefault="00B70263" w:rsidP="00B70263">
      <w:pPr>
        <w:pStyle w:val="NormalWeb"/>
        <w:rPr>
          <w:rFonts w:ascii="Century" w:hAnsi="Century"/>
        </w:rPr>
      </w:pPr>
      <w:r w:rsidRPr="00141F3A">
        <w:rPr>
          <w:rFonts w:ascii="Century" w:hAnsi="Century"/>
        </w:rPr>
        <w:t>The sexual revolution began as a movement away from traditional constraints on sexual behavior, influenced by a combination of access to effective contraception, such as the birth control pill, and broader liberalizing societal changes. This era also saw the emergence of advocacy for LGBTQ+ rights, highlighted by the Stonewall riots of 1969, which catalyzed the modern LGBTQ+ rights movement (Carter, 2004).</w:t>
      </w:r>
    </w:p>
    <w:p w14:paraId="0BD46551" w14:textId="77777777" w:rsidR="00B70263" w:rsidRPr="00141F3A" w:rsidRDefault="00B70263" w:rsidP="00B70263">
      <w:pPr>
        <w:pStyle w:val="NormalWeb"/>
        <w:rPr>
          <w:rFonts w:ascii="Century" w:hAnsi="Century"/>
        </w:rPr>
      </w:pPr>
      <w:r w:rsidRPr="00141F3A">
        <w:rPr>
          <w:rStyle w:val="Strong"/>
          <w:rFonts w:ascii="Century" w:hAnsi="Century"/>
        </w:rPr>
        <w:t>Impact on Society and Culture</w:t>
      </w:r>
    </w:p>
    <w:p w14:paraId="6E3F9B61" w14:textId="77777777" w:rsidR="00B70263" w:rsidRPr="00141F3A" w:rsidRDefault="00B70263" w:rsidP="00B70263">
      <w:pPr>
        <w:pStyle w:val="NormalWeb"/>
        <w:rPr>
          <w:rFonts w:ascii="Century" w:hAnsi="Century"/>
        </w:rPr>
      </w:pPr>
      <w:r w:rsidRPr="00141F3A">
        <w:rPr>
          <w:rFonts w:ascii="Century" w:hAnsi="Century"/>
        </w:rPr>
        <w:t>The loosening of traditional sexual mores led to greater openness towards sexual diversity and the breakdown of prescribed gender roles. According to research by the Kinsey Institute (1970), the period saw a significant increase in public acceptance of premarital sex, homosexuality, and non-traditional family structures. This cultural shift was paralleled by increased visibility and subsequent rights advancements for LGBTQ+ individuals.</w:t>
      </w:r>
    </w:p>
    <w:p w14:paraId="1938D8F8" w14:textId="77777777" w:rsidR="00B70263" w:rsidRPr="00141F3A" w:rsidRDefault="00B70263" w:rsidP="00B70263">
      <w:pPr>
        <w:pStyle w:val="NormalWeb"/>
        <w:rPr>
          <w:rFonts w:ascii="Century" w:hAnsi="Century"/>
        </w:rPr>
      </w:pPr>
      <w:r w:rsidRPr="00141F3A">
        <w:rPr>
          <w:rStyle w:val="Strong"/>
          <w:rFonts w:ascii="Century" w:hAnsi="Century"/>
        </w:rPr>
        <w:t>Legal and Political Developments</w:t>
      </w:r>
    </w:p>
    <w:p w14:paraId="34E857F8" w14:textId="77777777" w:rsidR="00B70263" w:rsidRPr="00141F3A" w:rsidRDefault="00B70263" w:rsidP="00B70263">
      <w:pPr>
        <w:pStyle w:val="NormalWeb"/>
        <w:rPr>
          <w:rFonts w:ascii="Century" w:hAnsi="Century"/>
        </w:rPr>
      </w:pPr>
      <w:r w:rsidRPr="00141F3A">
        <w:rPr>
          <w:rFonts w:ascii="Century" w:hAnsi="Century"/>
        </w:rPr>
        <w:t>Significant legal gains followed these societal shifts. Landmark cases such as Lawrence v. Texas (2003) and Obergefell v. Hodges (2015) in the United States dismantled legal barriers against homosexual behaviors and legalized same-sex marriage, respectively. These judicial decisions reflected and accelerated broader changes in societal attitudes (Obergefell v. Hodges, 2015).</w:t>
      </w:r>
    </w:p>
    <w:p w14:paraId="50838F92" w14:textId="77777777" w:rsidR="00B70263" w:rsidRPr="00141F3A" w:rsidRDefault="00B70263" w:rsidP="00B70263">
      <w:pPr>
        <w:pStyle w:val="NormalWeb"/>
        <w:rPr>
          <w:rFonts w:ascii="Century" w:hAnsi="Century"/>
        </w:rPr>
      </w:pPr>
      <w:r w:rsidRPr="00141F3A">
        <w:rPr>
          <w:rStyle w:val="Strong"/>
          <w:rFonts w:ascii="Century" w:hAnsi="Century"/>
        </w:rPr>
        <w:t>Ongoing Challenges</w:t>
      </w:r>
    </w:p>
    <w:p w14:paraId="6227C302" w14:textId="77777777" w:rsidR="00B70263" w:rsidRPr="00141F3A" w:rsidRDefault="00B70263" w:rsidP="00B70263">
      <w:pPr>
        <w:pStyle w:val="NormalWeb"/>
        <w:rPr>
          <w:rFonts w:ascii="Century" w:hAnsi="Century"/>
        </w:rPr>
      </w:pPr>
      <w:r w:rsidRPr="00141F3A">
        <w:rPr>
          <w:rFonts w:ascii="Century" w:hAnsi="Century"/>
        </w:rPr>
        <w:t>Despite progress, the sexual revolution and LGBTQ+ inclusion continue to face opposition in various regions, reflecting deep-seated cultural and religious values. Issues such as transgender rights and the integration of LGBTQ+ topics in educational curricula remain contentious, demonstrating the ongoing struggle for full inclusion and equality (Human Rights Campaign, 2021).</w:t>
      </w:r>
    </w:p>
    <w:p w14:paraId="2A70FDF1" w14:textId="77777777" w:rsidR="00B70263" w:rsidRPr="00141F3A" w:rsidRDefault="00B70263" w:rsidP="00B70263">
      <w:pPr>
        <w:pStyle w:val="NormalWeb"/>
        <w:rPr>
          <w:rFonts w:ascii="Century" w:hAnsi="Century"/>
        </w:rPr>
      </w:pPr>
      <w:r w:rsidRPr="00141F3A">
        <w:rPr>
          <w:rStyle w:val="Strong"/>
          <w:rFonts w:ascii="Century" w:hAnsi="Century"/>
        </w:rPr>
        <w:t>Conclusion</w:t>
      </w:r>
    </w:p>
    <w:p w14:paraId="4BCAD4B3" w14:textId="77777777" w:rsidR="00B70263" w:rsidRPr="00141F3A" w:rsidRDefault="00B70263" w:rsidP="00A849DA">
      <w:pPr>
        <w:pStyle w:val="NormalWeb"/>
        <w:rPr>
          <w:rFonts w:ascii="Century" w:hAnsi="Century"/>
        </w:rPr>
      </w:pPr>
      <w:r w:rsidRPr="00141F3A">
        <w:rPr>
          <w:rFonts w:ascii="Century" w:hAnsi="Century"/>
        </w:rPr>
        <w:lastRenderedPageBreak/>
        <w:t>The legacy of the sexual revolution and the ongoing evolution of LGBTQ+ rights represent a dynamic interplay between cultural liberation and societal resistance. As societies continue to navigate these changes, the tension between progress and tradition frames a critical aspect of contemporary social discourse.</w:t>
      </w:r>
      <w:r w:rsidRPr="00141F3A">
        <w:rPr>
          <w:rFonts w:ascii="Century" w:hAnsi="Century"/>
        </w:rPr>
        <w:br w:type="page"/>
      </w:r>
    </w:p>
    <w:p w14:paraId="3F4EC22D" w14:textId="77777777" w:rsidR="00B70263" w:rsidRPr="00141F3A" w:rsidRDefault="00B70263" w:rsidP="00B70263">
      <w:pPr>
        <w:pStyle w:val="NormalWeb"/>
        <w:rPr>
          <w:rFonts w:ascii="Century" w:hAnsi="Century"/>
          <w:sz w:val="28"/>
          <w:szCs w:val="28"/>
        </w:rPr>
      </w:pPr>
      <w:r w:rsidRPr="00141F3A">
        <w:rPr>
          <w:rStyle w:val="Strong"/>
          <w:rFonts w:ascii="Century" w:hAnsi="Century"/>
          <w:sz w:val="28"/>
          <w:szCs w:val="28"/>
        </w:rPr>
        <w:lastRenderedPageBreak/>
        <w:t>Chapter 4: Gun Violence and Firearm Deaths: A Masculine Crisis</w:t>
      </w:r>
    </w:p>
    <w:p w14:paraId="4B7C0872" w14:textId="77777777" w:rsidR="00B70263" w:rsidRPr="00141F3A" w:rsidRDefault="00B70263" w:rsidP="00B70263">
      <w:pPr>
        <w:pStyle w:val="NormalWeb"/>
        <w:rPr>
          <w:rFonts w:ascii="Century" w:hAnsi="Century"/>
        </w:rPr>
      </w:pPr>
      <w:r w:rsidRPr="00141F3A">
        <w:rPr>
          <w:rFonts w:ascii="Century" w:hAnsi="Century"/>
        </w:rPr>
        <w:t>Gun violence remains a critical issue in many societies, particularly affecting men both as perpetrators and victims. This chapter examines the extent of the problem, explores the sociocultural factors that contribute to it, and discusses the impact of firearm-related violence on men and broader communities.</w:t>
      </w:r>
    </w:p>
    <w:p w14:paraId="705CDDEB" w14:textId="77777777" w:rsidR="00B70263" w:rsidRPr="00141F3A" w:rsidRDefault="00B70263" w:rsidP="00B70263">
      <w:pPr>
        <w:pStyle w:val="NormalWeb"/>
        <w:rPr>
          <w:rFonts w:ascii="Century" w:hAnsi="Century"/>
        </w:rPr>
      </w:pPr>
      <w:r w:rsidRPr="00141F3A">
        <w:rPr>
          <w:rStyle w:val="Strong"/>
          <w:rFonts w:ascii="Century" w:hAnsi="Century"/>
        </w:rPr>
        <w:t>Scope of the Issue</w:t>
      </w:r>
    </w:p>
    <w:p w14:paraId="35BA7EC7" w14:textId="77777777" w:rsidR="00B70263" w:rsidRPr="00141F3A" w:rsidRDefault="00B70263" w:rsidP="00B70263">
      <w:pPr>
        <w:pStyle w:val="NormalWeb"/>
        <w:rPr>
          <w:rFonts w:ascii="Century" w:hAnsi="Century"/>
        </w:rPr>
      </w:pPr>
      <w:r w:rsidRPr="00141F3A">
        <w:rPr>
          <w:rFonts w:ascii="Century" w:hAnsi="Century"/>
        </w:rPr>
        <w:t>Statistics reveal a grim picture: men are overwhelmingly more likely than women to die by firearm-related incidents. In the United States, men constitute approximately 85% of all firearm deaths, a figure that starkly highlights the gendered nature of gun violence (Centers for Disease Control and Prevention, 2022).</w:t>
      </w:r>
    </w:p>
    <w:p w14:paraId="4E9E5C41" w14:textId="77777777" w:rsidR="00B70263" w:rsidRPr="00141F3A" w:rsidRDefault="00B70263" w:rsidP="00B70263">
      <w:pPr>
        <w:pStyle w:val="NormalWeb"/>
        <w:rPr>
          <w:rFonts w:ascii="Century" w:hAnsi="Century"/>
        </w:rPr>
      </w:pPr>
      <w:r w:rsidRPr="00141F3A">
        <w:rPr>
          <w:rStyle w:val="Strong"/>
          <w:rFonts w:ascii="Century" w:hAnsi="Century"/>
        </w:rPr>
        <w:t>Sociocultural Dynamics</w:t>
      </w:r>
    </w:p>
    <w:p w14:paraId="2C45F9CA" w14:textId="77777777" w:rsidR="00B70263" w:rsidRPr="00141F3A" w:rsidRDefault="00B70263" w:rsidP="00B70263">
      <w:pPr>
        <w:pStyle w:val="NormalWeb"/>
        <w:rPr>
          <w:rFonts w:ascii="Century" w:hAnsi="Century"/>
        </w:rPr>
      </w:pPr>
      <w:r w:rsidRPr="00141F3A">
        <w:rPr>
          <w:rFonts w:ascii="Century" w:hAnsi="Century"/>
        </w:rPr>
        <w:t>The prevalence of firearms in male deaths is deeply intertwined with cultural perceptions of masculinity. Social constructs that link masculinity with toughness and self-defense can perpetuate cycles of violence, where firearms are seen as symbols of power (Connell, 1995). This association is often reinforced by media portrayals and peer expectations, creating a challenging environment for reducing gun violence.</w:t>
      </w:r>
    </w:p>
    <w:p w14:paraId="138C7B80" w14:textId="77777777" w:rsidR="00B70263" w:rsidRPr="00141F3A" w:rsidRDefault="00B70263" w:rsidP="00B70263">
      <w:pPr>
        <w:pStyle w:val="NormalWeb"/>
        <w:rPr>
          <w:rFonts w:ascii="Century" w:hAnsi="Century"/>
        </w:rPr>
      </w:pPr>
      <w:r w:rsidRPr="00141F3A">
        <w:rPr>
          <w:rStyle w:val="Strong"/>
          <w:rFonts w:ascii="Century" w:hAnsi="Century"/>
        </w:rPr>
        <w:t>Impact on Communities</w:t>
      </w:r>
    </w:p>
    <w:p w14:paraId="0F6A8B0F" w14:textId="77777777" w:rsidR="00B70263" w:rsidRPr="00141F3A" w:rsidRDefault="00B70263" w:rsidP="00B70263">
      <w:pPr>
        <w:pStyle w:val="NormalWeb"/>
        <w:rPr>
          <w:rFonts w:ascii="Century" w:hAnsi="Century"/>
        </w:rPr>
      </w:pPr>
      <w:r w:rsidRPr="00141F3A">
        <w:rPr>
          <w:rFonts w:ascii="Century" w:hAnsi="Century"/>
        </w:rPr>
        <w:t>The effects of gun violence extend beyond individual tragedies to have wide-reaching impacts on communities. Neighborhoods afflicted by high levels of gun violence experience lower property values, diminished economic opportunities, and pervasive psychological trauma. This environment, in turn, perpetuates cycles of violence and economic disenfranchisement (Sharkey, 2018).</w:t>
      </w:r>
    </w:p>
    <w:p w14:paraId="056582B6" w14:textId="77777777" w:rsidR="00B70263" w:rsidRPr="00141F3A" w:rsidRDefault="00B70263" w:rsidP="00B70263">
      <w:pPr>
        <w:pStyle w:val="NormalWeb"/>
        <w:rPr>
          <w:rFonts w:ascii="Century" w:hAnsi="Century"/>
        </w:rPr>
      </w:pPr>
      <w:r w:rsidRPr="00141F3A">
        <w:rPr>
          <w:rStyle w:val="Strong"/>
          <w:rFonts w:ascii="Century" w:hAnsi="Century"/>
        </w:rPr>
        <w:t>Policy and Prevention Efforts</w:t>
      </w:r>
    </w:p>
    <w:p w14:paraId="225445CD" w14:textId="77777777" w:rsidR="00B70263" w:rsidRPr="00141F3A" w:rsidRDefault="00B70263" w:rsidP="00B70263">
      <w:pPr>
        <w:pStyle w:val="NormalWeb"/>
        <w:rPr>
          <w:rFonts w:ascii="Century" w:hAnsi="Century"/>
        </w:rPr>
      </w:pPr>
      <w:r w:rsidRPr="00141F3A">
        <w:rPr>
          <w:rFonts w:ascii="Century" w:hAnsi="Century"/>
        </w:rPr>
        <w:t>Efforts to address gun violence are as contentious as they are varied, involving measures ranging from stricter gun control laws to community-based intervention programs. Initiatives like Cure Violence have shown promise by treating gun violence as a public health issue, focusing on prevention through community engagement and conflict mediation (Cure Violence, 2020).</w:t>
      </w:r>
    </w:p>
    <w:p w14:paraId="1606A078" w14:textId="77777777" w:rsidR="00B70263" w:rsidRPr="00141F3A" w:rsidRDefault="00B70263" w:rsidP="00B70263">
      <w:pPr>
        <w:pStyle w:val="NormalWeb"/>
        <w:rPr>
          <w:rFonts w:ascii="Century" w:hAnsi="Century"/>
        </w:rPr>
      </w:pPr>
      <w:r w:rsidRPr="00141F3A">
        <w:rPr>
          <w:rStyle w:val="Strong"/>
          <w:rFonts w:ascii="Century" w:hAnsi="Century"/>
        </w:rPr>
        <w:t>Conclusion</w:t>
      </w:r>
    </w:p>
    <w:p w14:paraId="1746CAA7" w14:textId="77777777" w:rsidR="00B70263" w:rsidRPr="00141F3A" w:rsidRDefault="00B70263" w:rsidP="00B70263">
      <w:pPr>
        <w:pStyle w:val="NormalWeb"/>
        <w:rPr>
          <w:rFonts w:ascii="Century" w:hAnsi="Century"/>
        </w:rPr>
      </w:pPr>
      <w:r w:rsidRPr="00141F3A">
        <w:rPr>
          <w:rFonts w:ascii="Century" w:hAnsi="Century"/>
        </w:rPr>
        <w:t xml:space="preserve">Addressing the crisis of gun violence, particularly among men, requires a multifaceted approach that considers the complex interplay of sociocultural factors, economic conditions, and legal frameworks. As communities and policymakers </w:t>
      </w:r>
      <w:r w:rsidRPr="00141F3A">
        <w:rPr>
          <w:rFonts w:ascii="Century" w:hAnsi="Century"/>
        </w:rPr>
        <w:lastRenderedPageBreak/>
        <w:t>continue to seek effective solutions, understanding the gendered dimensions of this issue remains critical.</w:t>
      </w:r>
    </w:p>
    <w:p w14:paraId="11D91ED8" w14:textId="77777777" w:rsidR="00B70263" w:rsidRPr="00141F3A" w:rsidRDefault="00B70263">
      <w:pPr>
        <w:rPr>
          <w:rFonts w:ascii="Century" w:eastAsia="Times New Roman" w:hAnsi="Century" w:cs="Times New Roman"/>
          <w:sz w:val="24"/>
          <w:szCs w:val="24"/>
        </w:rPr>
      </w:pPr>
      <w:r w:rsidRPr="00141F3A">
        <w:rPr>
          <w:rFonts w:ascii="Century" w:hAnsi="Century"/>
        </w:rPr>
        <w:br w:type="page"/>
      </w:r>
    </w:p>
    <w:p w14:paraId="51810475" w14:textId="77777777" w:rsidR="00B70263" w:rsidRPr="00141F3A" w:rsidRDefault="00B70263" w:rsidP="00B70263">
      <w:pPr>
        <w:pStyle w:val="NormalWeb"/>
        <w:rPr>
          <w:rFonts w:ascii="Century" w:hAnsi="Century"/>
          <w:sz w:val="28"/>
          <w:szCs w:val="28"/>
        </w:rPr>
      </w:pPr>
      <w:r w:rsidRPr="00141F3A">
        <w:rPr>
          <w:rStyle w:val="Strong"/>
          <w:rFonts w:ascii="Century" w:hAnsi="Century"/>
          <w:sz w:val="28"/>
          <w:szCs w:val="28"/>
        </w:rPr>
        <w:lastRenderedPageBreak/>
        <w:t>Chapter 5: War Deaths: Eroding the Traditional Protector Role</w:t>
      </w:r>
    </w:p>
    <w:p w14:paraId="5D94DAFD" w14:textId="77777777" w:rsidR="00B70263" w:rsidRPr="00141F3A" w:rsidRDefault="00B70263" w:rsidP="00B70263">
      <w:pPr>
        <w:pStyle w:val="NormalWeb"/>
        <w:rPr>
          <w:rFonts w:ascii="Century" w:hAnsi="Century"/>
        </w:rPr>
      </w:pPr>
      <w:r w:rsidRPr="00141F3A">
        <w:rPr>
          <w:rFonts w:ascii="Century" w:hAnsi="Century"/>
        </w:rPr>
        <w:t>Historically, war has been perceived primarily as the domain of men—both as protectors of the nation and as the predominant casualties in military conflicts. This chapter explores how modern warfare and shifting societal attitudes are reshaping the traditional roles of men in combat and the broader implications of these changes for gender norms and military policies.</w:t>
      </w:r>
    </w:p>
    <w:p w14:paraId="32A1F7A0" w14:textId="77777777" w:rsidR="00B70263" w:rsidRPr="00141F3A" w:rsidRDefault="00B70263" w:rsidP="00B70263">
      <w:pPr>
        <w:pStyle w:val="NormalWeb"/>
        <w:rPr>
          <w:rFonts w:ascii="Century" w:hAnsi="Century"/>
        </w:rPr>
      </w:pPr>
      <w:r w:rsidRPr="00141F3A">
        <w:rPr>
          <w:rStyle w:val="Strong"/>
          <w:rFonts w:ascii="Century" w:hAnsi="Century"/>
        </w:rPr>
        <w:t>Historical Overview</w:t>
      </w:r>
    </w:p>
    <w:p w14:paraId="0AA57531" w14:textId="77777777" w:rsidR="00B70263" w:rsidRPr="00141F3A" w:rsidRDefault="00B70263" w:rsidP="00B70263">
      <w:pPr>
        <w:pStyle w:val="NormalWeb"/>
        <w:rPr>
          <w:rFonts w:ascii="Century" w:hAnsi="Century"/>
        </w:rPr>
      </w:pPr>
      <w:r w:rsidRPr="00141F3A">
        <w:rPr>
          <w:rFonts w:ascii="Century" w:hAnsi="Century"/>
        </w:rPr>
        <w:t>Traditionally, the role of men in warfare has been intertwined with concepts of masculinity and duty. From ancient times through the two World Wars, men were predominantly the soldiers and strategists, viewed as protectors of their homeland and providers for their families. Historical data show that male war deaths vastly outnumbered those of women, with men often seen as the first line of defense in conflicts (Keegan, 1993).</w:t>
      </w:r>
    </w:p>
    <w:p w14:paraId="088D97E5" w14:textId="77777777" w:rsidR="00B70263" w:rsidRPr="00141F3A" w:rsidRDefault="00B70263" w:rsidP="00B70263">
      <w:pPr>
        <w:pStyle w:val="NormalWeb"/>
        <w:rPr>
          <w:rFonts w:ascii="Century" w:hAnsi="Century"/>
        </w:rPr>
      </w:pPr>
      <w:r w:rsidRPr="00141F3A">
        <w:rPr>
          <w:rStyle w:val="Strong"/>
          <w:rFonts w:ascii="Century" w:hAnsi="Century"/>
        </w:rPr>
        <w:t>Changing Dynamics in Modern Warfare</w:t>
      </w:r>
    </w:p>
    <w:p w14:paraId="3B08DD6C" w14:textId="77777777" w:rsidR="00B70263" w:rsidRPr="00141F3A" w:rsidRDefault="00B70263" w:rsidP="00B70263">
      <w:pPr>
        <w:pStyle w:val="NormalWeb"/>
        <w:rPr>
          <w:rFonts w:ascii="Century" w:hAnsi="Century"/>
        </w:rPr>
      </w:pPr>
      <w:r w:rsidRPr="00141F3A">
        <w:rPr>
          <w:rFonts w:ascii="Century" w:hAnsi="Century"/>
        </w:rPr>
        <w:t>The nature of warfare began to change significantly in the latter half of the 20th century, marked by technological advancements and changes in military tactics that have altered the battlefield. Drones, cyber warfare, and long-range missiles have reduced the need for ground troops, which traditionally comprised overwhelmingly male soldiers (Singer, 2009). These technological shifts have not only changed how wars are fought but have also begun to dilute the traditional role of men as the primary combatants.</w:t>
      </w:r>
    </w:p>
    <w:p w14:paraId="5E2338AC" w14:textId="77777777" w:rsidR="00B70263" w:rsidRPr="00141F3A" w:rsidRDefault="00B70263" w:rsidP="00B70263">
      <w:pPr>
        <w:pStyle w:val="NormalWeb"/>
        <w:rPr>
          <w:rFonts w:ascii="Century" w:hAnsi="Century"/>
        </w:rPr>
      </w:pPr>
      <w:r w:rsidRPr="00141F3A">
        <w:rPr>
          <w:rStyle w:val="Strong"/>
          <w:rFonts w:ascii="Century" w:hAnsi="Century"/>
        </w:rPr>
        <w:t>Statistical Insights</w:t>
      </w:r>
    </w:p>
    <w:p w14:paraId="0842006B" w14:textId="77777777" w:rsidR="00B70263" w:rsidRPr="00141F3A" w:rsidRDefault="00B70263" w:rsidP="00B70263">
      <w:pPr>
        <w:pStyle w:val="NormalWeb"/>
        <w:rPr>
          <w:rFonts w:ascii="Century" w:hAnsi="Century"/>
        </w:rPr>
      </w:pPr>
      <w:r w:rsidRPr="00141F3A">
        <w:rPr>
          <w:rFonts w:ascii="Century" w:hAnsi="Century"/>
        </w:rPr>
        <w:t>Despite these changes, the impact on male soldiers remains significant. According to the Department of Defense (2021), men still constitute over 85% of military casualties in contemporary conflicts, highlighting the continuing risk and sacrifice involved in their traditional roles. However, the nature of these casualties and the psychological impact of modern warfare techniques, such as drone operations, have brought new challenges to the forefront, including moral injuries and post-traumatic stress disorder (PTSD) (Hoge, 2004).</w:t>
      </w:r>
    </w:p>
    <w:p w14:paraId="6716CBDB" w14:textId="77777777" w:rsidR="00B70263" w:rsidRPr="00141F3A" w:rsidRDefault="00B70263" w:rsidP="00B70263">
      <w:pPr>
        <w:pStyle w:val="NormalWeb"/>
        <w:rPr>
          <w:rFonts w:ascii="Century" w:hAnsi="Century"/>
        </w:rPr>
      </w:pPr>
      <w:r w:rsidRPr="00141F3A">
        <w:rPr>
          <w:rStyle w:val="Strong"/>
          <w:rFonts w:ascii="Century" w:hAnsi="Century"/>
        </w:rPr>
        <w:t>Societal Impact and Shifts in Gender Roles</w:t>
      </w:r>
    </w:p>
    <w:p w14:paraId="7097793B" w14:textId="77777777" w:rsidR="00B70263" w:rsidRPr="00141F3A" w:rsidRDefault="00B70263" w:rsidP="00B70263">
      <w:pPr>
        <w:pStyle w:val="NormalWeb"/>
        <w:rPr>
          <w:rFonts w:ascii="Century" w:hAnsi="Century"/>
        </w:rPr>
      </w:pPr>
      <w:r w:rsidRPr="00141F3A">
        <w:rPr>
          <w:rFonts w:ascii="Century" w:hAnsi="Century"/>
        </w:rPr>
        <w:t xml:space="preserve">The persistent high rate of male casualties in warfare has broader societal implications. It influences public perceptions of masculinity and the expectations placed on men to serve and sacrifice. However, as military roles evolve and more women join the armed forces, these traditional perceptions are being challenged. The integration of women in combat roles, as seen in countries like Israel, the </w:t>
      </w:r>
      <w:r w:rsidRPr="00141F3A">
        <w:rPr>
          <w:rFonts w:ascii="Century" w:hAnsi="Century"/>
        </w:rPr>
        <w:lastRenderedPageBreak/>
        <w:t>United States, and Canada, is not only changing military dynamics but also altering societal notions of gender and protection (Sanchez, 2015).</w:t>
      </w:r>
    </w:p>
    <w:p w14:paraId="7E12C31E" w14:textId="77777777" w:rsidR="00B70263" w:rsidRPr="00141F3A" w:rsidRDefault="00B70263" w:rsidP="00B70263">
      <w:pPr>
        <w:pStyle w:val="NormalWeb"/>
        <w:rPr>
          <w:rFonts w:ascii="Century" w:hAnsi="Century"/>
        </w:rPr>
      </w:pPr>
      <w:r w:rsidRPr="00141F3A">
        <w:rPr>
          <w:rStyle w:val="Strong"/>
          <w:rFonts w:ascii="Century" w:hAnsi="Century"/>
        </w:rPr>
        <w:t>Policy Implications</w:t>
      </w:r>
    </w:p>
    <w:p w14:paraId="30D44B50" w14:textId="77777777" w:rsidR="00B70263" w:rsidRPr="00141F3A" w:rsidRDefault="00B70263" w:rsidP="00B70263">
      <w:pPr>
        <w:pStyle w:val="NormalWeb"/>
        <w:rPr>
          <w:rFonts w:ascii="Century" w:hAnsi="Century"/>
        </w:rPr>
      </w:pPr>
      <w:r w:rsidRPr="00141F3A">
        <w:rPr>
          <w:rFonts w:ascii="Century" w:hAnsi="Century"/>
        </w:rPr>
        <w:t>These shifts necessitate changes in military and veteran policies. There is a growing need to address the specific health and psychological needs of men in the armed forces, considering the changing nature of warfare and its impact. Additionally, policies must adapt to the increasing presence of women in the military, ensuring equality and addressing the unique challenges they face in traditionally male-dominated environments.</w:t>
      </w:r>
    </w:p>
    <w:p w14:paraId="5B5A07D0" w14:textId="77777777" w:rsidR="00B70263" w:rsidRPr="00141F3A" w:rsidRDefault="00B70263" w:rsidP="00B70263">
      <w:pPr>
        <w:pStyle w:val="NormalWeb"/>
        <w:rPr>
          <w:rFonts w:ascii="Century" w:hAnsi="Century"/>
        </w:rPr>
      </w:pPr>
      <w:r w:rsidRPr="00141F3A">
        <w:rPr>
          <w:rStyle w:val="Strong"/>
          <w:rFonts w:ascii="Century" w:hAnsi="Century"/>
        </w:rPr>
        <w:t>Conclusion</w:t>
      </w:r>
    </w:p>
    <w:p w14:paraId="27EAA8E8" w14:textId="77777777" w:rsidR="00B70263" w:rsidRPr="00141F3A" w:rsidRDefault="00B70263" w:rsidP="00B70263">
      <w:pPr>
        <w:pStyle w:val="NormalWeb"/>
        <w:rPr>
          <w:rFonts w:ascii="Century" w:hAnsi="Century"/>
        </w:rPr>
      </w:pPr>
      <w:r w:rsidRPr="00141F3A">
        <w:rPr>
          <w:rFonts w:ascii="Century" w:hAnsi="Century"/>
        </w:rPr>
        <w:t>The role of men in warfare is undergoing a significant transformation, driven by technological advances and shifting societal attitudes towards gender roles. While men continue to bear the brunt of war casualties, the evolving nature of combat and the increasing inclusion of women in military roles are challenging long-standing norms and necessitating a reevaluation of military practices and policies. Understanding these changes is crucial for adapting to the new realities of warfare and for fostering a more inclusive and equitable military structure.</w:t>
      </w:r>
    </w:p>
    <w:p w14:paraId="705E86CC" w14:textId="77777777" w:rsidR="00B70263" w:rsidRPr="00141F3A" w:rsidRDefault="00B70263">
      <w:pPr>
        <w:rPr>
          <w:rFonts w:ascii="Century" w:eastAsia="Times New Roman" w:hAnsi="Century" w:cs="Times New Roman"/>
          <w:sz w:val="24"/>
          <w:szCs w:val="24"/>
        </w:rPr>
      </w:pPr>
      <w:r w:rsidRPr="00141F3A">
        <w:rPr>
          <w:rFonts w:ascii="Century" w:hAnsi="Century"/>
        </w:rPr>
        <w:br w:type="page"/>
      </w:r>
    </w:p>
    <w:p w14:paraId="75663AFD" w14:textId="77777777" w:rsidR="00B70263" w:rsidRPr="00141F3A" w:rsidRDefault="00B70263" w:rsidP="00B70263">
      <w:pPr>
        <w:pStyle w:val="NormalWeb"/>
        <w:rPr>
          <w:rFonts w:ascii="Century" w:hAnsi="Century"/>
          <w:sz w:val="28"/>
          <w:szCs w:val="28"/>
        </w:rPr>
      </w:pPr>
      <w:r w:rsidRPr="00141F3A">
        <w:rPr>
          <w:rStyle w:val="Strong"/>
          <w:rFonts w:ascii="Century" w:hAnsi="Century"/>
          <w:sz w:val="28"/>
          <w:szCs w:val="28"/>
        </w:rPr>
        <w:lastRenderedPageBreak/>
        <w:t>Chapter 6: Male Suicide Rates: Mental Health in Crisis</w:t>
      </w:r>
    </w:p>
    <w:p w14:paraId="6DF1F7EA" w14:textId="77777777" w:rsidR="00B70263" w:rsidRPr="00141F3A" w:rsidRDefault="00B70263" w:rsidP="00B70263">
      <w:pPr>
        <w:pStyle w:val="NormalWeb"/>
        <w:rPr>
          <w:rFonts w:ascii="Century" w:hAnsi="Century"/>
        </w:rPr>
      </w:pPr>
      <w:r w:rsidRPr="00141F3A">
        <w:rPr>
          <w:rFonts w:ascii="Century" w:hAnsi="Century"/>
        </w:rPr>
        <w:t>Suicide remains a leading cause of death globally, with a distinct gender disparity that sees men significantly more affected than women. This chapter examines the complex factors contributing to high suicide rates among men, exploring the interplay of cultural, psychological, and socio-economic influences.</w:t>
      </w:r>
    </w:p>
    <w:p w14:paraId="76C0BD85" w14:textId="77777777" w:rsidR="00B70263" w:rsidRPr="00141F3A" w:rsidRDefault="00B70263" w:rsidP="00B70263">
      <w:pPr>
        <w:pStyle w:val="NormalWeb"/>
        <w:rPr>
          <w:rFonts w:ascii="Century" w:hAnsi="Century"/>
        </w:rPr>
      </w:pPr>
      <w:r w:rsidRPr="00141F3A">
        <w:rPr>
          <w:rStyle w:val="Strong"/>
          <w:rFonts w:ascii="Century" w:hAnsi="Century"/>
        </w:rPr>
        <w:t>Epidemiological Overview</w:t>
      </w:r>
    </w:p>
    <w:p w14:paraId="5B339EB6" w14:textId="77777777" w:rsidR="00B70263" w:rsidRPr="00141F3A" w:rsidRDefault="00B70263" w:rsidP="00B70263">
      <w:pPr>
        <w:pStyle w:val="NormalWeb"/>
        <w:rPr>
          <w:rFonts w:ascii="Century" w:hAnsi="Century"/>
        </w:rPr>
      </w:pPr>
      <w:r w:rsidRPr="00141F3A">
        <w:rPr>
          <w:rFonts w:ascii="Century" w:hAnsi="Century"/>
        </w:rPr>
        <w:t>Statistically, men are disproportionately represented in suicide rates across various cultures and countries. According to the World Health Organization (WHO, 2022), nearly three-quarters of global suicides are committed by men, highlighting a pervasive crisis in men’s mental health. In countries like the United States, the male suicide rate is almost four times that of women, a pattern consistent across age groups and racial demographics (CDC, 2021).</w:t>
      </w:r>
    </w:p>
    <w:p w14:paraId="665C8EA5" w14:textId="77777777" w:rsidR="00B70263" w:rsidRPr="00141F3A" w:rsidRDefault="00B70263" w:rsidP="00B70263">
      <w:pPr>
        <w:pStyle w:val="NormalWeb"/>
        <w:rPr>
          <w:rFonts w:ascii="Century" w:hAnsi="Century"/>
        </w:rPr>
      </w:pPr>
      <w:r w:rsidRPr="00141F3A">
        <w:rPr>
          <w:rStyle w:val="Strong"/>
          <w:rFonts w:ascii="Century" w:hAnsi="Century"/>
        </w:rPr>
        <w:t>Cultural and Social Factors</w:t>
      </w:r>
    </w:p>
    <w:p w14:paraId="07D94AAD" w14:textId="77777777" w:rsidR="00B70263" w:rsidRPr="00141F3A" w:rsidRDefault="00B70263" w:rsidP="00B70263">
      <w:pPr>
        <w:pStyle w:val="NormalWeb"/>
        <w:rPr>
          <w:rFonts w:ascii="Century" w:hAnsi="Century"/>
        </w:rPr>
      </w:pPr>
      <w:r w:rsidRPr="00141F3A">
        <w:rPr>
          <w:rFonts w:ascii="Century" w:hAnsi="Century"/>
        </w:rPr>
        <w:t>Several cultural and social factors exacerbate the risk of suicide among men. Predominant among these is the cultural construct of masculinity, which often discourages emotional expression and seeking help. The traditional male role, emphasizing strength, stoicism, and self-reliance, can hinder men from addressing mental health issues or admitting vulnerability (Mahalik et al., 2003). This 'mask of masculinity' can lead to a dangerous buildup of untreated mental health conditions.</w:t>
      </w:r>
    </w:p>
    <w:p w14:paraId="3612968E" w14:textId="77777777" w:rsidR="00B70263" w:rsidRPr="00141F3A" w:rsidRDefault="00B70263" w:rsidP="00B70263">
      <w:pPr>
        <w:pStyle w:val="NormalWeb"/>
        <w:rPr>
          <w:rFonts w:ascii="Century" w:hAnsi="Century"/>
        </w:rPr>
      </w:pPr>
      <w:r w:rsidRPr="00141F3A">
        <w:rPr>
          <w:rStyle w:val="Strong"/>
          <w:rFonts w:ascii="Century" w:hAnsi="Century"/>
        </w:rPr>
        <w:t>Economic Influences</w:t>
      </w:r>
    </w:p>
    <w:p w14:paraId="022698E9" w14:textId="77777777" w:rsidR="00B70263" w:rsidRPr="00141F3A" w:rsidRDefault="00B70263" w:rsidP="00B70263">
      <w:pPr>
        <w:pStyle w:val="NormalWeb"/>
        <w:rPr>
          <w:rFonts w:ascii="Century" w:hAnsi="Century"/>
        </w:rPr>
      </w:pPr>
      <w:r w:rsidRPr="00141F3A">
        <w:rPr>
          <w:rFonts w:ascii="Century" w:hAnsi="Century"/>
        </w:rPr>
        <w:t>Economic instability and unemployment are significantly correlated with increased suicide rates among men. The loss of a job can be particularly devastating due not only to the financial impact but also to the loss of identity and self-esteem that work often provides. Research indicates that the economic downturns, such as those seen in the 2008 financial crisis, led to a marked increase in suicide rates, especially among men (Platt et al., 2013).</w:t>
      </w:r>
    </w:p>
    <w:p w14:paraId="1DC4D586" w14:textId="77777777" w:rsidR="00B70263" w:rsidRPr="00141F3A" w:rsidRDefault="00B70263" w:rsidP="00B70263">
      <w:pPr>
        <w:pStyle w:val="NormalWeb"/>
        <w:rPr>
          <w:rFonts w:ascii="Century" w:hAnsi="Century"/>
        </w:rPr>
      </w:pPr>
      <w:r w:rsidRPr="00141F3A">
        <w:rPr>
          <w:rStyle w:val="Strong"/>
          <w:rFonts w:ascii="Century" w:hAnsi="Century"/>
        </w:rPr>
        <w:t>Mental Health and Access to Care</w:t>
      </w:r>
    </w:p>
    <w:p w14:paraId="234035F9" w14:textId="77777777" w:rsidR="00B70263" w:rsidRPr="00141F3A" w:rsidRDefault="00B70263" w:rsidP="00B70263">
      <w:pPr>
        <w:pStyle w:val="NormalWeb"/>
        <w:rPr>
          <w:rFonts w:ascii="Century" w:hAnsi="Century"/>
        </w:rPr>
      </w:pPr>
      <w:r w:rsidRPr="00141F3A">
        <w:rPr>
          <w:rFonts w:ascii="Century" w:hAnsi="Century"/>
        </w:rPr>
        <w:t>Men are less likely than women to seek help for mental health problems, a fact that is compounded by a lack of targeted mental health services for men. The stigma around mental health, combined with a shortage of male-specific health initiatives, means that many men do not receive the support they need until it is too late (</w:t>
      </w:r>
      <w:proofErr w:type="spellStart"/>
      <w:r w:rsidRPr="00141F3A">
        <w:rPr>
          <w:rFonts w:ascii="Century" w:hAnsi="Century"/>
        </w:rPr>
        <w:t>Oliffe</w:t>
      </w:r>
      <w:proofErr w:type="spellEnd"/>
      <w:r w:rsidRPr="00141F3A">
        <w:rPr>
          <w:rFonts w:ascii="Century" w:hAnsi="Century"/>
        </w:rPr>
        <w:t xml:space="preserve"> &amp; Han, 2014).</w:t>
      </w:r>
    </w:p>
    <w:p w14:paraId="71635617" w14:textId="77777777" w:rsidR="00B70263" w:rsidRPr="00141F3A" w:rsidRDefault="00B70263" w:rsidP="00B70263">
      <w:pPr>
        <w:pStyle w:val="NormalWeb"/>
        <w:rPr>
          <w:rFonts w:ascii="Century" w:hAnsi="Century"/>
        </w:rPr>
      </w:pPr>
      <w:r w:rsidRPr="00141F3A">
        <w:rPr>
          <w:rStyle w:val="Strong"/>
          <w:rFonts w:ascii="Century" w:hAnsi="Century"/>
        </w:rPr>
        <w:t>Impacts and Interventions</w:t>
      </w:r>
    </w:p>
    <w:p w14:paraId="0AEA98E2" w14:textId="77777777" w:rsidR="00B70263" w:rsidRPr="00141F3A" w:rsidRDefault="00B70263" w:rsidP="00B70263">
      <w:pPr>
        <w:pStyle w:val="NormalWeb"/>
        <w:rPr>
          <w:rFonts w:ascii="Century" w:hAnsi="Century"/>
        </w:rPr>
      </w:pPr>
      <w:r w:rsidRPr="00141F3A">
        <w:rPr>
          <w:rFonts w:ascii="Century" w:hAnsi="Century"/>
        </w:rPr>
        <w:lastRenderedPageBreak/>
        <w:t>The high rate of male suicide has profound impacts on families, communities, and national health systems. It is crucial to address this issue through both preventive and interventional strategies tailored to men's specific needs. Initiatives like men’s health clinics, public health campaigns focusing on men’s mental health, and community support programs have shown promise in reducing stigma and encouraging men to seek help (</w:t>
      </w:r>
      <w:proofErr w:type="spellStart"/>
      <w:r w:rsidRPr="00141F3A">
        <w:rPr>
          <w:rFonts w:ascii="Century" w:hAnsi="Century"/>
        </w:rPr>
        <w:t>Movember</w:t>
      </w:r>
      <w:proofErr w:type="spellEnd"/>
      <w:r w:rsidRPr="00141F3A">
        <w:rPr>
          <w:rFonts w:ascii="Century" w:hAnsi="Century"/>
        </w:rPr>
        <w:t xml:space="preserve"> Foundation, 2020).</w:t>
      </w:r>
    </w:p>
    <w:p w14:paraId="64F7D890" w14:textId="77777777" w:rsidR="00B70263" w:rsidRPr="00141F3A" w:rsidRDefault="00B70263" w:rsidP="00B70263">
      <w:pPr>
        <w:pStyle w:val="NormalWeb"/>
        <w:rPr>
          <w:rFonts w:ascii="Century" w:hAnsi="Century"/>
        </w:rPr>
      </w:pPr>
      <w:r w:rsidRPr="00141F3A">
        <w:rPr>
          <w:rStyle w:val="Strong"/>
          <w:rFonts w:ascii="Century" w:hAnsi="Century"/>
        </w:rPr>
        <w:t>Conclusion</w:t>
      </w:r>
    </w:p>
    <w:p w14:paraId="133BEA93" w14:textId="77777777" w:rsidR="00B70263" w:rsidRPr="00141F3A" w:rsidRDefault="00B70263" w:rsidP="00B70263">
      <w:pPr>
        <w:pStyle w:val="NormalWeb"/>
        <w:rPr>
          <w:rFonts w:ascii="Century" w:hAnsi="Century"/>
        </w:rPr>
      </w:pPr>
      <w:r w:rsidRPr="00141F3A">
        <w:rPr>
          <w:rFonts w:ascii="Century" w:hAnsi="Century"/>
        </w:rPr>
        <w:t>Male suicide rates present a significant public health challenge, one that reflects broader societal issues related to gender roles, economic pressures, and mental health care. Tackling this crisis requires a multifaceted approach that includes changing cultural norms about masculinity, improving economic security, and expanding access to mental health services for men. Understanding and addressing the factors contributing to male suicide is essential for developing effective interventions and support systems.</w:t>
      </w:r>
    </w:p>
    <w:p w14:paraId="7CA2D035" w14:textId="77777777" w:rsidR="00B70263" w:rsidRPr="00141F3A" w:rsidRDefault="00B70263">
      <w:pPr>
        <w:rPr>
          <w:rFonts w:ascii="Century" w:eastAsia="Times New Roman" w:hAnsi="Century" w:cs="Times New Roman"/>
          <w:sz w:val="24"/>
          <w:szCs w:val="24"/>
        </w:rPr>
      </w:pPr>
      <w:r w:rsidRPr="00141F3A">
        <w:rPr>
          <w:rFonts w:ascii="Century" w:hAnsi="Century"/>
        </w:rPr>
        <w:br w:type="page"/>
      </w:r>
    </w:p>
    <w:p w14:paraId="0D1A740C" w14:textId="77777777" w:rsidR="00B70263" w:rsidRPr="00141F3A" w:rsidRDefault="00B70263" w:rsidP="00B70263">
      <w:pPr>
        <w:spacing w:before="100" w:beforeAutospacing="1" w:after="100" w:afterAutospacing="1" w:line="240" w:lineRule="auto"/>
        <w:rPr>
          <w:rFonts w:ascii="Century" w:eastAsia="Times New Roman" w:hAnsi="Century" w:cs="Times New Roman"/>
          <w:sz w:val="28"/>
          <w:szCs w:val="28"/>
        </w:rPr>
      </w:pPr>
      <w:r w:rsidRPr="00141F3A">
        <w:rPr>
          <w:rFonts w:ascii="Century" w:eastAsia="Times New Roman" w:hAnsi="Century" w:cs="Times New Roman"/>
          <w:b/>
          <w:bCs/>
          <w:sz w:val="28"/>
          <w:szCs w:val="28"/>
        </w:rPr>
        <w:lastRenderedPageBreak/>
        <w:t>Chapter 7: Homelessness: Gendered Inequities in Social Safety Nets</w:t>
      </w:r>
    </w:p>
    <w:p w14:paraId="4AE2AE53"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Homelessness represents a critical issue in urban societies worldwide, with a distinctly gendered dimension that disproportionately affects men. This chapter explores the underlying causes of male homelessness, examines the inefficacies of current social safety nets, and proposes</w:t>
      </w:r>
      <w:r w:rsidR="00A849DA" w:rsidRPr="00141F3A">
        <w:rPr>
          <w:rFonts w:ascii="Century" w:eastAsia="Times New Roman" w:hAnsi="Century" w:cs="Times New Roman"/>
          <w:sz w:val="24"/>
          <w:szCs w:val="24"/>
        </w:rPr>
        <w:t xml:space="preserve"> </w:t>
      </w:r>
      <w:r w:rsidRPr="00141F3A">
        <w:rPr>
          <w:rFonts w:ascii="Century" w:eastAsia="Times New Roman" w:hAnsi="Century" w:cs="Times New Roman"/>
          <w:sz w:val="24"/>
          <w:szCs w:val="24"/>
        </w:rPr>
        <w:t>strategies for addressing these inequities.</w:t>
      </w:r>
    </w:p>
    <w:p w14:paraId="7546884E"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Epidemiological Overview</w:t>
      </w:r>
    </w:p>
    <w:p w14:paraId="2DE81697"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Men make up a significant majority of the homeless population in urban centers around the world. In major cities across the United States, men represent approximately 70% of those without shelter, with similar patterns observable in Europe and other parts of the developed world (U.S. Department of Housing and Urban Development, 2022).</w:t>
      </w:r>
    </w:p>
    <w:p w14:paraId="3BB77B3E"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Socioeconomic Factors</w:t>
      </w:r>
    </w:p>
    <w:p w14:paraId="08FFD1F1"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Several key socioeconomic factors contribute to the high rates of homelessness among men. These include high rates of unemployment, substance abuse issues, and a lack of affordable housing. Additionally, men are less likely to receive custodial rights to children, which can affect their eligibility for certain types of housing assistance that prioritize families with children (Toro, 2007).</w:t>
      </w:r>
    </w:p>
    <w:p w14:paraId="5925CAEA"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Mental Health and Substance Abuse</w:t>
      </w:r>
    </w:p>
    <w:p w14:paraId="19E64DF9"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Mental health disorders and substance abuse are prevalent among the homeless population, with men experiencing these issues at a higher rate than their female counterparts. The stigma surrounding mental health, particularly among men, combined with a lack of tailored mental health services, exacerbates their vulnerability to homelessness (Padgett, 2008).</w:t>
      </w:r>
    </w:p>
    <w:p w14:paraId="334A1091"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Failures of Social Safety Nets</w:t>
      </w:r>
    </w:p>
    <w:p w14:paraId="3B6A4C9D"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Social safety nets often fail to address the specific needs of homeless men. Traditional welfare programs are frequently designed with families, particularly single mothers, in mind. This focus can overlook single men, who may also lack the social support networks that help others avoid homelessness (Shinn, 2017).</w:t>
      </w:r>
    </w:p>
    <w:p w14:paraId="7809F6E0"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Impacts of Homelessness on Men</w:t>
      </w:r>
    </w:p>
    <w:p w14:paraId="3150F965"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 xml:space="preserve">The impacts of homelessness extend beyond the immediate health and safety concerns associated with living without shelter. Long-term homelessness among men is associated with increased risks of violence, chronic health conditions, and permanent social and economic exclusion. Furthermore, the visibility of homeless </w:t>
      </w:r>
      <w:r w:rsidRPr="00141F3A">
        <w:rPr>
          <w:rFonts w:ascii="Century" w:eastAsia="Times New Roman" w:hAnsi="Century" w:cs="Times New Roman"/>
          <w:sz w:val="24"/>
          <w:szCs w:val="24"/>
        </w:rPr>
        <w:lastRenderedPageBreak/>
        <w:t>men in urban centers impacts public perceptions and policy responses, often leading to criminalization rather than compassionate intervention (</w:t>
      </w:r>
      <w:proofErr w:type="spellStart"/>
      <w:r w:rsidRPr="00141F3A">
        <w:rPr>
          <w:rFonts w:ascii="Century" w:eastAsia="Times New Roman" w:hAnsi="Century" w:cs="Times New Roman"/>
          <w:sz w:val="24"/>
          <w:szCs w:val="24"/>
        </w:rPr>
        <w:t>Karabanow</w:t>
      </w:r>
      <w:proofErr w:type="spellEnd"/>
      <w:r w:rsidRPr="00141F3A">
        <w:rPr>
          <w:rFonts w:ascii="Century" w:eastAsia="Times New Roman" w:hAnsi="Century" w:cs="Times New Roman"/>
          <w:sz w:val="24"/>
          <w:szCs w:val="24"/>
        </w:rPr>
        <w:t>, 2004).</w:t>
      </w:r>
    </w:p>
    <w:p w14:paraId="0A7C61A6"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Policy Recommendations</w:t>
      </w:r>
    </w:p>
    <w:p w14:paraId="60BADB7E"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Addressing male homelessness requires comprehensive policy initiatives that go beyond temporary shelter solutions. Recommendations include increasing investment in mental health services tailored to men, implementing job training and employment programs that target at-risk male populations, and revising housing policies to ensure they adequately address the needs of single men (National Alliance to End Homelessness, 2020).</w:t>
      </w:r>
    </w:p>
    <w:p w14:paraId="7B8367D5"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Conclusion</w:t>
      </w:r>
    </w:p>
    <w:p w14:paraId="7B334844"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issue of homelessness, particularly among men, underscores significant gendered inequities in social safety nets. Effective intervention requires a nuanced understanding of the socioeconomic and psychological factors contributing to this crisis. By reforming policies to be more inclusive of men’s specific needs, societies can better address the root causes of homelessness and work towards more equitable solutions for all.</w:t>
      </w:r>
    </w:p>
    <w:p w14:paraId="79685C80" w14:textId="77777777" w:rsidR="00B70263" w:rsidRPr="00141F3A" w:rsidRDefault="00B70263">
      <w:pPr>
        <w:rPr>
          <w:rFonts w:ascii="Century" w:eastAsia="Times New Roman" w:hAnsi="Century" w:cs="Times New Roman"/>
          <w:sz w:val="24"/>
          <w:szCs w:val="24"/>
        </w:rPr>
      </w:pPr>
      <w:r w:rsidRPr="00141F3A">
        <w:rPr>
          <w:rFonts w:ascii="Century" w:eastAsia="Times New Roman" w:hAnsi="Century" w:cs="Times New Roman"/>
          <w:sz w:val="24"/>
          <w:szCs w:val="24"/>
        </w:rPr>
        <w:br w:type="page"/>
      </w:r>
    </w:p>
    <w:p w14:paraId="33B187D2" w14:textId="77777777" w:rsidR="00B70263" w:rsidRPr="00141F3A" w:rsidRDefault="00B70263" w:rsidP="00B70263">
      <w:pPr>
        <w:pStyle w:val="NormalWeb"/>
        <w:rPr>
          <w:rFonts w:ascii="Century" w:hAnsi="Century"/>
          <w:sz w:val="28"/>
          <w:szCs w:val="28"/>
        </w:rPr>
      </w:pPr>
      <w:r w:rsidRPr="00141F3A">
        <w:rPr>
          <w:rStyle w:val="Strong"/>
          <w:rFonts w:ascii="Century" w:hAnsi="Century"/>
          <w:sz w:val="28"/>
          <w:szCs w:val="28"/>
        </w:rPr>
        <w:lastRenderedPageBreak/>
        <w:t>Chapter 8: Marriage Rates: The Decline of Traditional Family Structures</w:t>
      </w:r>
    </w:p>
    <w:p w14:paraId="3CB45DBA" w14:textId="77777777" w:rsidR="00B70263" w:rsidRPr="00141F3A" w:rsidRDefault="00B70263" w:rsidP="00B70263">
      <w:pPr>
        <w:pStyle w:val="NormalWeb"/>
        <w:rPr>
          <w:rFonts w:ascii="Century" w:hAnsi="Century"/>
        </w:rPr>
      </w:pPr>
      <w:r w:rsidRPr="00141F3A">
        <w:rPr>
          <w:rFonts w:ascii="Century" w:hAnsi="Century"/>
        </w:rPr>
        <w:t>Across the globe, traditional family structures are evolving as marriage rates decline. This shift has profound implications for societal norms, economic policies, and individual life choices. This chapter explores the factors contributing to the declining popularity of marriage and examines the broader societal implications of these changes.</w:t>
      </w:r>
    </w:p>
    <w:p w14:paraId="6E7C8B9F" w14:textId="77777777" w:rsidR="00B70263" w:rsidRPr="00141F3A" w:rsidRDefault="00B70263" w:rsidP="00B70263">
      <w:pPr>
        <w:pStyle w:val="NormalWeb"/>
        <w:rPr>
          <w:rFonts w:ascii="Century" w:hAnsi="Century"/>
        </w:rPr>
      </w:pPr>
      <w:r w:rsidRPr="00141F3A">
        <w:rPr>
          <w:rStyle w:val="Strong"/>
          <w:rFonts w:ascii="Century" w:hAnsi="Century"/>
        </w:rPr>
        <w:t>Statistical Overview</w:t>
      </w:r>
    </w:p>
    <w:p w14:paraId="3B0557E9" w14:textId="77777777" w:rsidR="00B70263" w:rsidRPr="00141F3A" w:rsidRDefault="00B70263" w:rsidP="00B70263">
      <w:pPr>
        <w:pStyle w:val="NormalWeb"/>
        <w:rPr>
          <w:rFonts w:ascii="Century" w:hAnsi="Century"/>
        </w:rPr>
      </w:pPr>
      <w:r w:rsidRPr="00141F3A">
        <w:rPr>
          <w:rFonts w:ascii="Century" w:hAnsi="Century"/>
        </w:rPr>
        <w:t>Recent decades have seen a significant decrease in marriage rates in most developed countries. For instance, the United States has experienced a marked decline, with rates falling from 8.2 per 1,000 people in 2000 to just 6.5 in 2018 (U.S. Census Bureau, 2019). Similar trends are observable in Europe and parts of Asia, reflecting a global shift in marital patterns.</w:t>
      </w:r>
    </w:p>
    <w:p w14:paraId="570A56F1" w14:textId="77777777" w:rsidR="00B70263" w:rsidRPr="00141F3A" w:rsidRDefault="00B70263" w:rsidP="00B70263">
      <w:pPr>
        <w:pStyle w:val="NormalWeb"/>
        <w:rPr>
          <w:rFonts w:ascii="Century" w:hAnsi="Century"/>
        </w:rPr>
      </w:pPr>
      <w:r w:rsidRPr="00141F3A">
        <w:rPr>
          <w:rStyle w:val="Strong"/>
          <w:rFonts w:ascii="Century" w:hAnsi="Century"/>
        </w:rPr>
        <w:t>Socioeconomic Influences</w:t>
      </w:r>
    </w:p>
    <w:p w14:paraId="42B63876" w14:textId="77777777" w:rsidR="00B70263" w:rsidRPr="00141F3A" w:rsidRDefault="00B70263" w:rsidP="00B70263">
      <w:pPr>
        <w:pStyle w:val="NormalWeb"/>
        <w:rPr>
          <w:rFonts w:ascii="Century" w:hAnsi="Century"/>
        </w:rPr>
      </w:pPr>
      <w:r w:rsidRPr="00141F3A">
        <w:rPr>
          <w:rFonts w:ascii="Century" w:hAnsi="Century"/>
        </w:rPr>
        <w:t>Several socioeconomic factors are driving the decline in marriage rates. Economic instability, increased participation of women in the workforce, and greater educational attainment have all contributed to changing attitudes towards marriage. Financial considerations, particularly concerning the costs associated with weddings and starting a family, also play a critical role, as younger generations find themselves economically disadvantaged compared to their parents at the same age (Becker, 1981).</w:t>
      </w:r>
    </w:p>
    <w:p w14:paraId="63A0E9B2" w14:textId="77777777" w:rsidR="00B70263" w:rsidRPr="00141F3A" w:rsidRDefault="00B70263" w:rsidP="00B70263">
      <w:pPr>
        <w:pStyle w:val="NormalWeb"/>
        <w:rPr>
          <w:rFonts w:ascii="Century" w:hAnsi="Century"/>
        </w:rPr>
      </w:pPr>
      <w:r w:rsidRPr="00141F3A">
        <w:rPr>
          <w:rStyle w:val="Strong"/>
          <w:rFonts w:ascii="Century" w:hAnsi="Century"/>
        </w:rPr>
        <w:t>Cultural Shifts</w:t>
      </w:r>
    </w:p>
    <w:p w14:paraId="2F3241E8" w14:textId="77777777" w:rsidR="00B70263" w:rsidRPr="00141F3A" w:rsidRDefault="00B70263" w:rsidP="00B70263">
      <w:pPr>
        <w:pStyle w:val="NormalWeb"/>
        <w:rPr>
          <w:rFonts w:ascii="Century" w:hAnsi="Century"/>
        </w:rPr>
      </w:pPr>
      <w:r w:rsidRPr="00141F3A">
        <w:rPr>
          <w:rFonts w:ascii="Century" w:hAnsi="Century"/>
        </w:rPr>
        <w:t>Culturally, perceptions of marriage and individuality have shifted. There is a growing emphasis on personal fulfillment and career aspirations, with younger people prioritizing self-realization over traditional family roles. Additionally, the stigma associated with cohabitation without marriage has decreased, and alternative family structures have gained more societal acceptance (Giddens, 1992).</w:t>
      </w:r>
    </w:p>
    <w:p w14:paraId="36173EDE" w14:textId="77777777" w:rsidR="00B70263" w:rsidRPr="00141F3A" w:rsidRDefault="00B70263" w:rsidP="00B70263">
      <w:pPr>
        <w:pStyle w:val="NormalWeb"/>
        <w:rPr>
          <w:rFonts w:ascii="Century" w:hAnsi="Century"/>
        </w:rPr>
      </w:pPr>
      <w:r w:rsidRPr="00141F3A">
        <w:rPr>
          <w:rStyle w:val="Strong"/>
          <w:rFonts w:ascii="Century" w:hAnsi="Century"/>
        </w:rPr>
        <w:t>Impact on Society</w:t>
      </w:r>
    </w:p>
    <w:p w14:paraId="34D39F78" w14:textId="77777777" w:rsidR="00B70263" w:rsidRPr="00141F3A" w:rsidRDefault="00B70263" w:rsidP="00B70263">
      <w:pPr>
        <w:pStyle w:val="NormalWeb"/>
        <w:rPr>
          <w:rFonts w:ascii="Century" w:hAnsi="Century"/>
        </w:rPr>
      </w:pPr>
      <w:r w:rsidRPr="00141F3A">
        <w:rPr>
          <w:rFonts w:ascii="Century" w:hAnsi="Century"/>
        </w:rPr>
        <w:t>The decline in marriage rates has several implications for society. Economically, it affects housing markets and consumer behavior, as single individuals and unmarried couples have different spending habits than married ones. Socially, it leads to changes in how communities are organized and how social services are provided, particularly those related to child-rearing and elder care (Esping-Andersen, 1999).</w:t>
      </w:r>
    </w:p>
    <w:p w14:paraId="359989BF" w14:textId="77777777" w:rsidR="00B70263" w:rsidRPr="00141F3A" w:rsidRDefault="00B70263" w:rsidP="00B70263">
      <w:pPr>
        <w:pStyle w:val="NormalWeb"/>
        <w:rPr>
          <w:rFonts w:ascii="Century" w:hAnsi="Century"/>
        </w:rPr>
      </w:pPr>
      <w:r w:rsidRPr="00141F3A">
        <w:rPr>
          <w:rStyle w:val="Strong"/>
          <w:rFonts w:ascii="Century" w:hAnsi="Century"/>
        </w:rPr>
        <w:lastRenderedPageBreak/>
        <w:t>Policy Implications</w:t>
      </w:r>
    </w:p>
    <w:p w14:paraId="5E464558" w14:textId="77777777" w:rsidR="00B70263" w:rsidRPr="00141F3A" w:rsidRDefault="00B70263" w:rsidP="00B70263">
      <w:pPr>
        <w:pStyle w:val="NormalWeb"/>
        <w:rPr>
          <w:rFonts w:ascii="Century" w:hAnsi="Century"/>
        </w:rPr>
      </w:pPr>
      <w:r w:rsidRPr="00141F3A">
        <w:rPr>
          <w:rFonts w:ascii="Century" w:hAnsi="Century"/>
        </w:rPr>
        <w:t>This shift necessitates adaptations in social policies. Governments may need to reconsider their approaches to welfare and benefits, which have traditionally favored married couples. Additionally, there is a growing need for policies that support alternative family structures, including single-parent households and cohabiting couples, ensuring that social support systems reflect these demographic changes (OECD, 2011).</w:t>
      </w:r>
    </w:p>
    <w:p w14:paraId="48DF1C75" w14:textId="77777777" w:rsidR="00B70263" w:rsidRPr="00141F3A" w:rsidRDefault="00B70263" w:rsidP="00B70263">
      <w:pPr>
        <w:pStyle w:val="NormalWeb"/>
        <w:rPr>
          <w:rFonts w:ascii="Century" w:hAnsi="Century"/>
        </w:rPr>
      </w:pPr>
      <w:r w:rsidRPr="00141F3A">
        <w:rPr>
          <w:rStyle w:val="Strong"/>
          <w:rFonts w:ascii="Century" w:hAnsi="Century"/>
        </w:rPr>
        <w:t>Conclusion</w:t>
      </w:r>
    </w:p>
    <w:p w14:paraId="32538607" w14:textId="77777777" w:rsidR="00B70263" w:rsidRPr="00141F3A" w:rsidRDefault="00B70263" w:rsidP="00B70263">
      <w:pPr>
        <w:pStyle w:val="NormalWeb"/>
        <w:rPr>
          <w:rFonts w:ascii="Century" w:hAnsi="Century"/>
        </w:rPr>
      </w:pPr>
      <w:r w:rsidRPr="00141F3A">
        <w:rPr>
          <w:rFonts w:ascii="Century" w:hAnsi="Century"/>
        </w:rPr>
        <w:t>The decline in marriage rates is more than a statistical trend; it is a reflection of deep-seated changes in societal values, economic conditions, and individual aspirations. Understanding these shifts is essential for policymakers, social scientists, and the public as they navigate the complexities of modern family dynamics. As we move forward, it is crucial to adapt societal structures and policies to better accommodate the diverse forms of family life that individuals are increasingly choosing.</w:t>
      </w:r>
    </w:p>
    <w:p w14:paraId="494985FF" w14:textId="77777777" w:rsidR="00B70263" w:rsidRPr="00141F3A" w:rsidRDefault="00B70263">
      <w:pPr>
        <w:rPr>
          <w:rFonts w:ascii="Century" w:eastAsia="Times New Roman" w:hAnsi="Century" w:cs="Times New Roman"/>
          <w:sz w:val="24"/>
          <w:szCs w:val="24"/>
        </w:rPr>
      </w:pPr>
      <w:r w:rsidRPr="00141F3A">
        <w:rPr>
          <w:rFonts w:ascii="Century" w:hAnsi="Century"/>
        </w:rPr>
        <w:br w:type="page"/>
      </w:r>
    </w:p>
    <w:p w14:paraId="24A65E1B" w14:textId="77777777" w:rsidR="00B70263" w:rsidRPr="00141F3A" w:rsidRDefault="00B70263" w:rsidP="00B70263">
      <w:pPr>
        <w:spacing w:before="100" w:beforeAutospacing="1" w:after="100" w:afterAutospacing="1" w:line="240" w:lineRule="auto"/>
        <w:rPr>
          <w:rFonts w:ascii="Century" w:eastAsia="Times New Roman" w:hAnsi="Century" w:cs="Times New Roman"/>
          <w:sz w:val="28"/>
          <w:szCs w:val="28"/>
        </w:rPr>
      </w:pPr>
      <w:r w:rsidRPr="00141F3A">
        <w:rPr>
          <w:rFonts w:ascii="Century" w:eastAsia="Times New Roman" w:hAnsi="Century" w:cs="Times New Roman"/>
          <w:b/>
          <w:bCs/>
          <w:sz w:val="28"/>
          <w:szCs w:val="28"/>
        </w:rPr>
        <w:lastRenderedPageBreak/>
        <w:t>Chapter 9: Education and Workforce Participation: Women on the Rise</w:t>
      </w:r>
    </w:p>
    <w:p w14:paraId="1D74FCD0"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Over the past several decades, there has been a significant transformation in the roles of women in society, particularly in education and the workforce. This chapter explores the factors contributing to the rise of women in these sectors and examines the broader implications for economic development and societal change.</w:t>
      </w:r>
    </w:p>
    <w:p w14:paraId="2C138A96"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Statistical Overview</w:t>
      </w:r>
    </w:p>
    <w:p w14:paraId="04B859DD"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Women's increased participation in education and the workforce marks one of the most significant social transformations of the 20th and 21st centuries. In the United States, for example, women now earn more than half of all bachelor's degrees and make up nearly half of the workforce—a stark contrast to their marginal presence in higher education and many professional fields just a few decades ago (U.S. Department of Education, 2020).</w:t>
      </w:r>
    </w:p>
    <w:p w14:paraId="2F5C1DB2"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Driving Forces Behind the Trends</w:t>
      </w:r>
    </w:p>
    <w:p w14:paraId="7BEC0828"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Several key factors have contributed to the rise of women in education and the workforce:</w:t>
      </w:r>
    </w:p>
    <w:p w14:paraId="2901E636" w14:textId="77777777" w:rsidR="00B70263" w:rsidRPr="00141F3A" w:rsidRDefault="00B70263" w:rsidP="000A2190">
      <w:pPr>
        <w:numPr>
          <w:ilvl w:val="0"/>
          <w:numId w:val="1"/>
        </w:numPr>
        <w:tabs>
          <w:tab w:val="clear" w:pos="720"/>
          <w:tab w:val="num" w:pos="-180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Educational Attainment</w:t>
      </w:r>
      <w:r w:rsidRPr="00141F3A">
        <w:rPr>
          <w:rFonts w:ascii="Century" w:eastAsia="Times New Roman" w:hAnsi="Century" w:cs="Times New Roman"/>
          <w:sz w:val="24"/>
          <w:szCs w:val="24"/>
        </w:rPr>
        <w:t>: Legislative actions like Title IX of the Education Amendments of 1972 have provided women with unprecedented access to higher education and athletic programs, contributing to greater gender parity in educational attainment.</w:t>
      </w:r>
    </w:p>
    <w:p w14:paraId="48E96CE0" w14:textId="77777777" w:rsidR="00B70263" w:rsidRPr="00141F3A" w:rsidRDefault="00B70263" w:rsidP="000A2190">
      <w:pPr>
        <w:numPr>
          <w:ilvl w:val="0"/>
          <w:numId w:val="1"/>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Economic Necessity</w:t>
      </w:r>
      <w:r w:rsidRPr="00141F3A">
        <w:rPr>
          <w:rFonts w:ascii="Century" w:eastAsia="Times New Roman" w:hAnsi="Century" w:cs="Times New Roman"/>
          <w:sz w:val="24"/>
          <w:szCs w:val="24"/>
        </w:rPr>
        <w:t>: As the global economy has evolved, there has been a growing demand for skilled labor in sectors traditionally dominated by women, such as healthcare and education. Additionally, economic necessity has driven more families to become dual-income households, further increasing women's participation in the workforce (Goldin, 1990).</w:t>
      </w:r>
    </w:p>
    <w:p w14:paraId="3E029D40" w14:textId="77777777" w:rsidR="00B70263" w:rsidRPr="00141F3A" w:rsidRDefault="00B70263" w:rsidP="000A2190">
      <w:pPr>
        <w:numPr>
          <w:ilvl w:val="0"/>
          <w:numId w:val="1"/>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Societal Changes</w:t>
      </w:r>
      <w:r w:rsidRPr="00141F3A">
        <w:rPr>
          <w:rFonts w:ascii="Century" w:eastAsia="Times New Roman" w:hAnsi="Century" w:cs="Times New Roman"/>
          <w:sz w:val="24"/>
          <w:szCs w:val="24"/>
        </w:rPr>
        <w:t>: Shifts in societal norms regarding gender roles have also played a crucial role. There's been a significant cultural move towards greater acceptance of women working and pursuing careers outside the home (Hochschild, 1989).</w:t>
      </w:r>
    </w:p>
    <w:p w14:paraId="05576BDB"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Impacts on Society and Economy</w:t>
      </w:r>
    </w:p>
    <w:p w14:paraId="05D16E9A"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implications of increased female participation in education and the workforce are profound:</w:t>
      </w:r>
    </w:p>
    <w:p w14:paraId="4E8CCCB5" w14:textId="77777777" w:rsidR="00B70263" w:rsidRPr="00141F3A" w:rsidRDefault="00B70263" w:rsidP="000A2190">
      <w:pPr>
        <w:numPr>
          <w:ilvl w:val="0"/>
          <w:numId w:val="2"/>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Economic Growth</w:t>
      </w:r>
      <w:r w:rsidRPr="00141F3A">
        <w:rPr>
          <w:rFonts w:ascii="Century" w:eastAsia="Times New Roman" w:hAnsi="Century" w:cs="Times New Roman"/>
          <w:sz w:val="24"/>
          <w:szCs w:val="24"/>
        </w:rPr>
        <w:t>: Numerous studies have shown that increasing women's participation in the workforce contributes to overall economic growth. According to a McKinsey Global Institute report, advancing women’s equality could add $12 trillion to global GDP by 2025 (McKinsey Global Institute, 2015).</w:t>
      </w:r>
    </w:p>
    <w:p w14:paraId="0A960F87" w14:textId="77777777" w:rsidR="00B70263" w:rsidRPr="00141F3A" w:rsidRDefault="00B70263" w:rsidP="000A2190">
      <w:pPr>
        <w:numPr>
          <w:ilvl w:val="0"/>
          <w:numId w:val="2"/>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lastRenderedPageBreak/>
        <w:t>Social Change</w:t>
      </w:r>
      <w:r w:rsidRPr="00141F3A">
        <w:rPr>
          <w:rFonts w:ascii="Century" w:eastAsia="Times New Roman" w:hAnsi="Century" w:cs="Times New Roman"/>
          <w:sz w:val="24"/>
          <w:szCs w:val="24"/>
        </w:rPr>
        <w:t>: As more women enter the workforce and achieve higher levels of education, they gain greater economic independence and decision-making power within their families and communities, which in turn influences public policy and societal norms.</w:t>
      </w:r>
    </w:p>
    <w:p w14:paraId="39DE645E"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Challenges and Barriers</w:t>
      </w:r>
    </w:p>
    <w:p w14:paraId="23BD3813"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Despite these advances, women still face significant challenges in education and the workforce, including wage disparities, underrepresentation in leadership positions, and the persistent challenge of balancing work and family responsibilities. Additionally, sectors traditionally dominated by men, such as STEM fields, continue to have notable gender disparities (National Science Foundation, 2019).</w:t>
      </w:r>
    </w:p>
    <w:p w14:paraId="2D1D0725"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Conclusion</w:t>
      </w:r>
    </w:p>
    <w:p w14:paraId="4DA7F2E7"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rise of women in education and the workforce is reshaping the economic and social landscape of societies worldwide. While substantial progress has been made, ongoing efforts are required to address the remaining barriers that prevent women from fully realizing their potential in these fields. Understanding and supporting the continued advancement of women in education and the workforce is crucial for fostering sustainable economic growth and achieving greater social equality.</w:t>
      </w:r>
    </w:p>
    <w:p w14:paraId="3F1E674D" w14:textId="77777777" w:rsidR="00B70263" w:rsidRPr="00141F3A" w:rsidRDefault="00B70263">
      <w:pPr>
        <w:rPr>
          <w:rFonts w:ascii="Century" w:eastAsia="Times New Roman" w:hAnsi="Century" w:cs="Times New Roman"/>
          <w:sz w:val="24"/>
          <w:szCs w:val="24"/>
        </w:rPr>
      </w:pPr>
      <w:r w:rsidRPr="00141F3A">
        <w:rPr>
          <w:rFonts w:ascii="Century" w:eastAsia="Times New Roman" w:hAnsi="Century" w:cs="Times New Roman"/>
          <w:sz w:val="24"/>
          <w:szCs w:val="24"/>
        </w:rPr>
        <w:br w:type="page"/>
      </w:r>
    </w:p>
    <w:p w14:paraId="0C6DD795" w14:textId="77777777" w:rsidR="00B70263" w:rsidRPr="00141F3A" w:rsidRDefault="00B70263" w:rsidP="00B70263">
      <w:pPr>
        <w:spacing w:before="100" w:beforeAutospacing="1" w:after="100" w:afterAutospacing="1" w:line="240" w:lineRule="auto"/>
        <w:rPr>
          <w:rFonts w:ascii="Century" w:eastAsia="Times New Roman" w:hAnsi="Century" w:cs="Times New Roman"/>
          <w:sz w:val="28"/>
          <w:szCs w:val="28"/>
        </w:rPr>
      </w:pPr>
      <w:r w:rsidRPr="00141F3A">
        <w:rPr>
          <w:rFonts w:ascii="Century" w:eastAsia="Times New Roman" w:hAnsi="Century" w:cs="Times New Roman"/>
          <w:b/>
          <w:bCs/>
          <w:sz w:val="28"/>
          <w:szCs w:val="28"/>
        </w:rPr>
        <w:lastRenderedPageBreak/>
        <w:t>Chapter 10: ‘Woke’ Policies and Cultural Trends: A Challenge to Tradition</w:t>
      </w:r>
    </w:p>
    <w:p w14:paraId="6CF4241A" w14:textId="77777777" w:rsidR="00B70263" w:rsidRPr="00141F3A" w:rsidRDefault="00A849DA"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term “</w:t>
      </w:r>
      <w:r w:rsidR="00B70263" w:rsidRPr="00141F3A">
        <w:rPr>
          <w:rFonts w:ascii="Century" w:eastAsia="Times New Roman" w:hAnsi="Century" w:cs="Times New Roman"/>
          <w:sz w:val="24"/>
          <w:szCs w:val="24"/>
        </w:rPr>
        <w:t>woke,</w:t>
      </w:r>
      <w:r w:rsidRPr="00141F3A">
        <w:rPr>
          <w:rFonts w:ascii="Century" w:eastAsia="Times New Roman" w:hAnsi="Century" w:cs="Times New Roman"/>
          <w:sz w:val="24"/>
          <w:szCs w:val="24"/>
        </w:rPr>
        <w:t>”</w:t>
      </w:r>
      <w:r w:rsidR="00B70263" w:rsidRPr="00141F3A">
        <w:rPr>
          <w:rFonts w:ascii="Century" w:eastAsia="Times New Roman" w:hAnsi="Century" w:cs="Times New Roman"/>
          <w:sz w:val="24"/>
          <w:szCs w:val="24"/>
        </w:rPr>
        <w:t xml:space="preserve"> originally African American Vernacular English for being alert to social injustices, has become a shorthand for broader movements promoting social justice and equity across various spheres, including race, gender, and sexual orientation. This chapter examines the rise of 'woke' culture, its implications for social and corporate policies, and the controversies it stirs in public discourse.</w:t>
      </w:r>
    </w:p>
    <w:p w14:paraId="6D19E364"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Cultural Genesis and Evolution</w:t>
      </w:r>
    </w:p>
    <w:p w14:paraId="15356D8A" w14:textId="77777777" w:rsidR="00B70263" w:rsidRPr="00141F3A" w:rsidRDefault="00A849DA"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‘Woke”</w:t>
      </w:r>
      <w:r w:rsidR="00B70263" w:rsidRPr="00141F3A">
        <w:rPr>
          <w:rFonts w:ascii="Century" w:eastAsia="Times New Roman" w:hAnsi="Century" w:cs="Times New Roman"/>
          <w:sz w:val="24"/>
          <w:szCs w:val="24"/>
        </w:rPr>
        <w:t xml:space="preserve"> culture has its roots in the civil rights movements but has recently been catapulted into mainstream discourse through social media and high-profile activism. It signifies a profound shift in societal awareness and willingness to address systemic inequalities. Events such as the global Black Lives Matter protests following George Floyd’s death in 2020 have significantly contributed to this cultural shift, demanding an overhaul of traditional views and practices across institutions (Smith, 2021).</w:t>
      </w:r>
    </w:p>
    <w:p w14:paraId="3DB80480"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Impact on Public and Corporate Policy</w:t>
      </w:r>
    </w:p>
    <w:p w14:paraId="57917346"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Woke policies have profoundly impacted both public and corporate sectors, advocating for diversity, equity, and inclusion:</w:t>
      </w:r>
    </w:p>
    <w:p w14:paraId="020016EE" w14:textId="77777777" w:rsidR="00B70263" w:rsidRPr="00141F3A" w:rsidRDefault="00B70263" w:rsidP="000A2190">
      <w:pPr>
        <w:numPr>
          <w:ilvl w:val="0"/>
          <w:numId w:val="3"/>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Corporate Sector</w:t>
      </w:r>
      <w:r w:rsidRPr="00141F3A">
        <w:rPr>
          <w:rFonts w:ascii="Century" w:eastAsia="Times New Roman" w:hAnsi="Century" w:cs="Times New Roman"/>
          <w:sz w:val="24"/>
          <w:szCs w:val="24"/>
        </w:rPr>
        <w:t>: Many corporations have adopted diversity and inclusion programs, with initiatives ranging from unconscious bias training to setting quotas for hiring from underrepresented groups. According to a report from Deloitte (2022), companies with diverse management teams report higher innovation revenue and greater readiness to capture new markets.</w:t>
      </w:r>
    </w:p>
    <w:p w14:paraId="587C5B69" w14:textId="77777777" w:rsidR="00B70263" w:rsidRPr="00141F3A" w:rsidRDefault="00B70263" w:rsidP="000A2190">
      <w:pPr>
        <w:numPr>
          <w:ilvl w:val="0"/>
          <w:numId w:val="3"/>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Public Sector</w:t>
      </w:r>
      <w:r w:rsidRPr="00141F3A">
        <w:rPr>
          <w:rFonts w:ascii="Century" w:eastAsia="Times New Roman" w:hAnsi="Century" w:cs="Times New Roman"/>
          <w:sz w:val="24"/>
          <w:szCs w:val="24"/>
        </w:rPr>
        <w:t>: In education and public governance, woke policies have led to the development of curricula that include broader perspectives and histories, as well as policies aimed at reducing disparities in healthcare, housing, and employment based on racial and social metrics (Johnson, 2022).</w:t>
      </w:r>
    </w:p>
    <w:p w14:paraId="35CBB8C5"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Economic Implications</w:t>
      </w:r>
    </w:p>
    <w:p w14:paraId="637C1E14"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implementation of woke policies has also significant economic implications. Studies indicate that organizations embracing diversity and inclusion are better positioned for global markets and tend to perform better financially (McKinsey &amp; Company, 2020). However, these policies also incur costs related to training, implementing new practices, and sometimes public backlash, which can affect a company’s market performance in the short term.</w:t>
      </w:r>
    </w:p>
    <w:p w14:paraId="2B9ACE2B"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Controversies and Criticism</w:t>
      </w:r>
    </w:p>
    <w:p w14:paraId="6CE4067C"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lastRenderedPageBreak/>
        <w:t>While many champion woke policies as progressive, they also face significant criticism and backlash. Critics argue that such policies may lead to reverse discrimination, suppress free speech through political correctness, and foster divisions rather than inclusivity. Public debates have intensified around these issues, with significant polarization observed in political and social discourse (Reynolds, 2021).</w:t>
      </w:r>
    </w:p>
    <w:p w14:paraId="02D9AC1A"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Conclusion</w:t>
      </w:r>
    </w:p>
    <w:p w14:paraId="73AC0808" w14:textId="77777777" w:rsidR="00B70263" w:rsidRPr="00141F3A" w:rsidRDefault="00A849DA"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 xml:space="preserve">‘Woke” </w:t>
      </w:r>
      <w:r w:rsidR="00B70263" w:rsidRPr="00141F3A">
        <w:rPr>
          <w:rFonts w:ascii="Century" w:eastAsia="Times New Roman" w:hAnsi="Century" w:cs="Times New Roman"/>
          <w:sz w:val="24"/>
          <w:szCs w:val="24"/>
        </w:rPr>
        <w:t>policies and cultural trends represent a dynamic and controversial facet of modern societal evolution. They challenge traditional norms and practices, proposing a more inclusive and equitable framework for social and corporate governance. However, as with any significant change, they provoke debate about the best paths forward for inclusive societal development. Balancing these perspectives and finding common ground is essential for leveraging the benefits of woke policies while managing their societal impacts effectively.</w:t>
      </w:r>
    </w:p>
    <w:p w14:paraId="29BD09A8" w14:textId="77777777" w:rsidR="00B70263" w:rsidRPr="00141F3A" w:rsidRDefault="00B70263">
      <w:pPr>
        <w:rPr>
          <w:rFonts w:ascii="Century" w:eastAsia="Times New Roman" w:hAnsi="Century" w:cs="Times New Roman"/>
          <w:sz w:val="24"/>
          <w:szCs w:val="24"/>
        </w:rPr>
      </w:pPr>
      <w:r w:rsidRPr="00141F3A">
        <w:rPr>
          <w:rFonts w:ascii="Century" w:eastAsia="Times New Roman" w:hAnsi="Century" w:cs="Times New Roman"/>
          <w:sz w:val="24"/>
          <w:szCs w:val="24"/>
        </w:rPr>
        <w:br w:type="page"/>
      </w:r>
    </w:p>
    <w:p w14:paraId="5428280E" w14:textId="77777777" w:rsidR="00B70263" w:rsidRPr="00141F3A" w:rsidRDefault="00B70263" w:rsidP="00B70263">
      <w:pPr>
        <w:spacing w:before="100" w:beforeAutospacing="1" w:after="100" w:afterAutospacing="1" w:line="240" w:lineRule="auto"/>
        <w:rPr>
          <w:rFonts w:ascii="Century" w:eastAsia="Times New Roman" w:hAnsi="Century" w:cs="Times New Roman"/>
          <w:sz w:val="28"/>
          <w:szCs w:val="28"/>
        </w:rPr>
      </w:pPr>
      <w:r w:rsidRPr="00141F3A">
        <w:rPr>
          <w:rFonts w:ascii="Century" w:eastAsia="Times New Roman" w:hAnsi="Century" w:cs="Times New Roman"/>
          <w:b/>
          <w:bCs/>
          <w:sz w:val="28"/>
          <w:szCs w:val="28"/>
        </w:rPr>
        <w:lastRenderedPageBreak/>
        <w:t>Chapter 11: Economic Shifts: The Decline of Male-Dominated Industries</w:t>
      </w:r>
    </w:p>
    <w:p w14:paraId="23957981"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 xml:space="preserve">The past several decades </w:t>
      </w:r>
      <w:proofErr w:type="gramStart"/>
      <w:r w:rsidRPr="00141F3A">
        <w:rPr>
          <w:rFonts w:ascii="Century" w:eastAsia="Times New Roman" w:hAnsi="Century" w:cs="Times New Roman"/>
          <w:sz w:val="24"/>
          <w:szCs w:val="24"/>
        </w:rPr>
        <w:t>have</w:t>
      </w:r>
      <w:proofErr w:type="gramEnd"/>
      <w:r w:rsidRPr="00141F3A">
        <w:rPr>
          <w:rFonts w:ascii="Century" w:eastAsia="Times New Roman" w:hAnsi="Century" w:cs="Times New Roman"/>
          <w:sz w:val="24"/>
          <w:szCs w:val="24"/>
        </w:rPr>
        <w:t xml:space="preserve"> witnessed profound changes in the global economy, particularly in the decline of industries traditionally dominated by male labor such as manufacturing, mining, and construction. This chapter explores the causes behind these shifts, the effects on the male workforce, and the broader implications for society.</w:t>
      </w:r>
    </w:p>
    <w:p w14:paraId="38630A3A"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Economic Trends and Data</w:t>
      </w:r>
    </w:p>
    <w:p w14:paraId="4A8C2E08"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Over the past fifty years, the economic landscape in many developed nations has transitioned from manufacturing-driven to service-oriented economies. This shift has been marked by a stark decline in manufacturing jobs due to automation, globalization, and evolving economic priorities. For instance, in the United States, manufacturing jobs as a percentage of total employment have decreased from 25% in the 1970s to under 10% today (U.S. Bureau of Labor Statistics, 2020).</w:t>
      </w:r>
    </w:p>
    <w:p w14:paraId="7ECED65F"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Drivers of Industry Decline</w:t>
      </w:r>
    </w:p>
    <w:p w14:paraId="6003092C"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decline of male-dominated industries can be attributed to several key factors:</w:t>
      </w:r>
    </w:p>
    <w:p w14:paraId="6F83D731" w14:textId="77777777" w:rsidR="00B70263" w:rsidRPr="00141F3A" w:rsidRDefault="00B70263" w:rsidP="000A2190">
      <w:pPr>
        <w:numPr>
          <w:ilvl w:val="0"/>
          <w:numId w:val="4"/>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Globalization</w:t>
      </w:r>
      <w:r w:rsidRPr="00141F3A">
        <w:rPr>
          <w:rFonts w:ascii="Century" w:eastAsia="Times New Roman" w:hAnsi="Century" w:cs="Times New Roman"/>
          <w:sz w:val="24"/>
          <w:szCs w:val="24"/>
        </w:rPr>
        <w:t>: The global shift of manufacturing to countries with lower labor costs has resulted in significant job losses in developed countries. Companies seeking to remain competitive on a global scale have relocated operations, impacting local labor markets predominantly staffed by men (Krugman, 1995).</w:t>
      </w:r>
    </w:p>
    <w:p w14:paraId="2FE35675" w14:textId="77777777" w:rsidR="00B70263" w:rsidRPr="00141F3A" w:rsidRDefault="00B70263" w:rsidP="000A2190">
      <w:pPr>
        <w:numPr>
          <w:ilvl w:val="0"/>
          <w:numId w:val="4"/>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Technological Advancements</w:t>
      </w:r>
      <w:r w:rsidRPr="00141F3A">
        <w:rPr>
          <w:rFonts w:ascii="Century" w:eastAsia="Times New Roman" w:hAnsi="Century" w:cs="Times New Roman"/>
          <w:sz w:val="24"/>
          <w:szCs w:val="24"/>
        </w:rPr>
        <w:t>: Automation and technological advancements have dramatically altered the workforce. Many roles traditionally performed by humans, especially in manufacturing and production, have been replaced by machines, reducing the number of employees required in these sectors (Autor, 2014).</w:t>
      </w:r>
    </w:p>
    <w:p w14:paraId="3F789075" w14:textId="77777777" w:rsidR="00B70263" w:rsidRPr="00141F3A" w:rsidRDefault="00B70263" w:rsidP="000A2190">
      <w:pPr>
        <w:numPr>
          <w:ilvl w:val="0"/>
          <w:numId w:val="4"/>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Economic Restructuring</w:t>
      </w:r>
      <w:r w:rsidRPr="00141F3A">
        <w:rPr>
          <w:rFonts w:ascii="Century" w:eastAsia="Times New Roman" w:hAnsi="Century" w:cs="Times New Roman"/>
          <w:sz w:val="24"/>
          <w:szCs w:val="24"/>
        </w:rPr>
        <w:t>: There has been a strategic shift towards knowledge and service-based economies in developed nations. This restructuring favors industries such as technology, healthcare, and education, which historically have employed a more balanced gender workforce or are female-dominated (Cortright, 2019).</w:t>
      </w:r>
    </w:p>
    <w:p w14:paraId="0F4ABD10"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Societal Impacts</w:t>
      </w:r>
    </w:p>
    <w:p w14:paraId="4143B926"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decline of male-dominated industries has profound societal implications:</w:t>
      </w:r>
    </w:p>
    <w:p w14:paraId="5E22B255" w14:textId="77777777" w:rsidR="00B70263" w:rsidRPr="00141F3A" w:rsidRDefault="00B70263" w:rsidP="000A2190">
      <w:pPr>
        <w:numPr>
          <w:ilvl w:val="0"/>
          <w:numId w:val="5"/>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lastRenderedPageBreak/>
        <w:t>Labor Market Effects</w:t>
      </w:r>
      <w:r w:rsidRPr="00141F3A">
        <w:rPr>
          <w:rFonts w:ascii="Century" w:eastAsia="Times New Roman" w:hAnsi="Century" w:cs="Times New Roman"/>
          <w:sz w:val="24"/>
          <w:szCs w:val="24"/>
        </w:rPr>
        <w:t>: The erosion of traditional male jobs has contributed to a rise in unemployment rates among men in certain demographics, particularly among those with less education (Autor &amp; Dorn, 2013).</w:t>
      </w:r>
    </w:p>
    <w:p w14:paraId="74204450" w14:textId="77777777" w:rsidR="00B70263" w:rsidRPr="00141F3A" w:rsidRDefault="00B70263" w:rsidP="000A2190">
      <w:pPr>
        <w:numPr>
          <w:ilvl w:val="0"/>
          <w:numId w:val="5"/>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Wage Disparities</w:t>
      </w:r>
      <w:r w:rsidRPr="00141F3A">
        <w:rPr>
          <w:rFonts w:ascii="Century" w:eastAsia="Times New Roman" w:hAnsi="Century" w:cs="Times New Roman"/>
          <w:sz w:val="24"/>
          <w:szCs w:val="24"/>
        </w:rPr>
        <w:t>: As high-paying manufacturing jobs have disappeared, many men have found themselves working in lower-paid service roles, contributing to a widening wage gap and affecting household income dynamics (Piketty, 2014).</w:t>
      </w:r>
    </w:p>
    <w:p w14:paraId="14E99E50" w14:textId="77777777" w:rsidR="00B70263" w:rsidRPr="00141F3A" w:rsidRDefault="00B70263" w:rsidP="000A2190">
      <w:pPr>
        <w:numPr>
          <w:ilvl w:val="0"/>
          <w:numId w:val="5"/>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Cultural and Psychological Impact</w:t>
      </w:r>
      <w:r w:rsidRPr="00141F3A">
        <w:rPr>
          <w:rFonts w:ascii="Century" w:eastAsia="Times New Roman" w:hAnsi="Century" w:cs="Times New Roman"/>
          <w:sz w:val="24"/>
          <w:szCs w:val="24"/>
        </w:rPr>
        <w:t>: The loss of traditional employment opportunities has also led to a crisis of identity for many men, who culturally and historically have been seen as the breadwinners and primary economic providers in their families (Bly, 1990).</w:t>
      </w:r>
    </w:p>
    <w:p w14:paraId="616B103E"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Policy Responses and Future Directions</w:t>
      </w:r>
    </w:p>
    <w:p w14:paraId="635B08AB"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Addressing the decline of male-dominated industries requires nuanced policy interventions. Proposed measures include retraining programs to help men transition into growing sectors, incentives for industries to retain and modernize within local economies, and educational reforms to better prepare future workforces for the demands of a changing economic landscape (Schwab, 2016).</w:t>
      </w:r>
    </w:p>
    <w:p w14:paraId="36686269" w14:textId="77777777" w:rsidR="00B70263"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Conclusion</w:t>
      </w:r>
    </w:p>
    <w:p w14:paraId="5D942B43" w14:textId="77777777" w:rsidR="001836B5" w:rsidRPr="00141F3A" w:rsidRDefault="00B70263" w:rsidP="00B70263">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decline of male-dominated industries is a transformative economic shift that reflects broader changes in global markets, technological advancements, and workforce demands. Its impacts are felt deeply by the male workforce and have significant implications for economic policy and societal structure. Addressing these challenges will require collaborative efforts between governments, industries, and educational institutions to ensure a resilient and adaptable workforce for the future.</w:t>
      </w:r>
    </w:p>
    <w:p w14:paraId="184C905E" w14:textId="77777777" w:rsidR="001836B5" w:rsidRPr="00141F3A" w:rsidRDefault="001836B5">
      <w:pPr>
        <w:rPr>
          <w:rFonts w:ascii="Century" w:eastAsia="Times New Roman" w:hAnsi="Century" w:cs="Times New Roman"/>
          <w:sz w:val="24"/>
          <w:szCs w:val="24"/>
        </w:rPr>
      </w:pPr>
      <w:r w:rsidRPr="00141F3A">
        <w:rPr>
          <w:rFonts w:ascii="Century" w:eastAsia="Times New Roman" w:hAnsi="Century" w:cs="Times New Roman"/>
          <w:sz w:val="24"/>
          <w:szCs w:val="24"/>
        </w:rPr>
        <w:br w:type="page"/>
      </w:r>
    </w:p>
    <w:p w14:paraId="4C4B369F" w14:textId="77777777" w:rsidR="001836B5" w:rsidRPr="00141F3A" w:rsidRDefault="001836B5" w:rsidP="001836B5">
      <w:pPr>
        <w:spacing w:before="100" w:beforeAutospacing="1" w:after="100" w:afterAutospacing="1" w:line="240" w:lineRule="auto"/>
        <w:rPr>
          <w:rFonts w:ascii="Century" w:eastAsia="Times New Roman" w:hAnsi="Century" w:cs="Times New Roman"/>
          <w:sz w:val="28"/>
          <w:szCs w:val="28"/>
        </w:rPr>
      </w:pPr>
      <w:r w:rsidRPr="00141F3A">
        <w:rPr>
          <w:rFonts w:ascii="Century" w:eastAsia="Times New Roman" w:hAnsi="Century" w:cs="Times New Roman"/>
          <w:b/>
          <w:bCs/>
          <w:sz w:val="28"/>
          <w:szCs w:val="28"/>
        </w:rPr>
        <w:lastRenderedPageBreak/>
        <w:t>Chapter 12: Media Representation: Redefining Masculinity</w:t>
      </w:r>
    </w:p>
    <w:p w14:paraId="7C7B4EBF"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In the past several decades, media representation of men has undergone significant transformation, reflecting broader societal shifts towards redefining traditional masculinity. This chapter explores how these changes in media portrayals impact societal perceptions of gender roles and discuss the implications for both men and women.</w:t>
      </w:r>
    </w:p>
    <w:p w14:paraId="2188DF30"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Evolution of Male Representation in Media</w:t>
      </w:r>
    </w:p>
    <w:p w14:paraId="1AE6FA33"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Historically, media portrayals of men have emphasized traditional roles of strength, stoicism, and leadership. However, recent trends in television, film, and digital content have begun to challenge these stereotypes, offering more nuanced portrayals that highlight vulnerability, emotional complexity, and a break from traditional patriarchal norms. For example, shows like "This Is Us" and movies such as "Moonlight" have been pivotal in presenting men in roles that emphasize emotional depth and vulnerability (Johnson, 2017).</w:t>
      </w:r>
    </w:p>
    <w:p w14:paraId="2A192E20"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Driving Forces Behind Changing Portrayals</w:t>
      </w:r>
    </w:p>
    <w:p w14:paraId="230B52ED"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Several factors contribute to the evolving depiction of masculinity in media:</w:t>
      </w:r>
    </w:p>
    <w:p w14:paraId="047904A6" w14:textId="77777777" w:rsidR="001836B5" w:rsidRPr="00141F3A" w:rsidRDefault="001836B5" w:rsidP="000A2190">
      <w:pPr>
        <w:numPr>
          <w:ilvl w:val="0"/>
          <w:numId w:val="6"/>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Cultural Shifts</w:t>
      </w:r>
      <w:r w:rsidRPr="00141F3A">
        <w:rPr>
          <w:rFonts w:ascii="Century" w:eastAsia="Times New Roman" w:hAnsi="Century" w:cs="Times New Roman"/>
          <w:sz w:val="24"/>
          <w:szCs w:val="24"/>
        </w:rPr>
        <w:t>: There is a growing recognition of the limitations imposed by traditional gender stereotypes, spurred by feminist movements and broader gender equality initiatives which advocate for more accurate representations of all genders (Butler, 1990).</w:t>
      </w:r>
    </w:p>
    <w:p w14:paraId="31B410C6" w14:textId="77777777" w:rsidR="001836B5" w:rsidRPr="00141F3A" w:rsidRDefault="001836B5" w:rsidP="000A2190">
      <w:pPr>
        <w:numPr>
          <w:ilvl w:val="0"/>
          <w:numId w:val="6"/>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Market Dynamics</w:t>
      </w:r>
      <w:r w:rsidRPr="00141F3A">
        <w:rPr>
          <w:rFonts w:ascii="Century" w:eastAsia="Times New Roman" w:hAnsi="Century" w:cs="Times New Roman"/>
          <w:sz w:val="24"/>
          <w:szCs w:val="24"/>
        </w:rPr>
        <w:t>: Audiences increasingly demand content that reflects a broader spectrum of human experiences and identities. Media producers respond to these demands with more diverse and inclusive portrayals to attract wider audiences and foster greater viewer engagement (Nielsen, 2019).</w:t>
      </w:r>
    </w:p>
    <w:p w14:paraId="63F445CF" w14:textId="77777777" w:rsidR="001836B5" w:rsidRPr="00141F3A" w:rsidRDefault="001836B5" w:rsidP="000A2190">
      <w:pPr>
        <w:numPr>
          <w:ilvl w:val="0"/>
          <w:numId w:val="6"/>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Psychological and Social Research</w:t>
      </w:r>
      <w:r w:rsidRPr="00141F3A">
        <w:rPr>
          <w:rFonts w:ascii="Century" w:eastAsia="Times New Roman" w:hAnsi="Century" w:cs="Times New Roman"/>
          <w:sz w:val="24"/>
          <w:szCs w:val="24"/>
        </w:rPr>
        <w:t>: Advances in understanding the psychological impacts of media representation have encouraged content creators to consider the effects of their portrayals on audience attitudes towards gender roles. Studies have shown that diverse and positive representation can significantly influence societal norms and individual self-perception (Bandura, 2001).</w:t>
      </w:r>
    </w:p>
    <w:p w14:paraId="2D26F3C9"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Impacts of Media on Societal Attitudes</w:t>
      </w:r>
    </w:p>
    <w:p w14:paraId="4A633AD7"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shift in media representation of men has profound implications:</w:t>
      </w:r>
    </w:p>
    <w:p w14:paraId="5BD51542" w14:textId="77777777" w:rsidR="001836B5" w:rsidRPr="00141F3A" w:rsidRDefault="001836B5" w:rsidP="000A2190">
      <w:pPr>
        <w:numPr>
          <w:ilvl w:val="0"/>
          <w:numId w:val="7"/>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Influencing Gender Norms</w:t>
      </w:r>
      <w:r w:rsidRPr="00141F3A">
        <w:rPr>
          <w:rFonts w:ascii="Century" w:eastAsia="Times New Roman" w:hAnsi="Century" w:cs="Times New Roman"/>
          <w:sz w:val="24"/>
          <w:szCs w:val="24"/>
        </w:rPr>
        <w:t xml:space="preserve">: By challenging traditional notions of masculinity, media can play a critical role in shaping public perceptions and behaviors. Younger generations who consume a variety of media narratives are often </w:t>
      </w:r>
      <w:r w:rsidRPr="00141F3A">
        <w:rPr>
          <w:rFonts w:ascii="Century" w:eastAsia="Times New Roman" w:hAnsi="Century" w:cs="Times New Roman"/>
          <w:sz w:val="24"/>
          <w:szCs w:val="24"/>
        </w:rPr>
        <w:lastRenderedPageBreak/>
        <w:t>more accepting of non-traditional gender roles and identities (Steinberg, 2020).</w:t>
      </w:r>
    </w:p>
    <w:p w14:paraId="189D65F0" w14:textId="77777777" w:rsidR="001836B5" w:rsidRPr="00141F3A" w:rsidRDefault="001836B5" w:rsidP="000A2190">
      <w:pPr>
        <w:numPr>
          <w:ilvl w:val="0"/>
          <w:numId w:val="7"/>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Reducing Stigma</w:t>
      </w:r>
      <w:r w:rsidRPr="00141F3A">
        <w:rPr>
          <w:rFonts w:ascii="Century" w:eastAsia="Times New Roman" w:hAnsi="Century" w:cs="Times New Roman"/>
          <w:sz w:val="24"/>
          <w:szCs w:val="24"/>
        </w:rPr>
        <w:t>: More diverse portrayals of masculinity can help reduce stigma associated with mental health issues among men, encouraging open discussions and greater societal acceptance of seeking help (WHO, 2022).</w:t>
      </w:r>
    </w:p>
    <w:p w14:paraId="695C5D4F"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Challenges and Criticisms</w:t>
      </w:r>
    </w:p>
    <w:p w14:paraId="17749796"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Despite positive trends, the redefinition of masculinity in media faces challenges:</w:t>
      </w:r>
    </w:p>
    <w:p w14:paraId="6EE820F1" w14:textId="77777777" w:rsidR="001836B5" w:rsidRPr="00141F3A" w:rsidRDefault="001836B5" w:rsidP="000A2190">
      <w:pPr>
        <w:numPr>
          <w:ilvl w:val="0"/>
          <w:numId w:val="8"/>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Backlash</w:t>
      </w:r>
      <w:r w:rsidRPr="00141F3A">
        <w:rPr>
          <w:rFonts w:ascii="Century" w:eastAsia="Times New Roman" w:hAnsi="Century" w:cs="Times New Roman"/>
          <w:sz w:val="24"/>
          <w:szCs w:val="24"/>
        </w:rPr>
        <w:t>: Some segments of society view these changes as threatening to traditional social structures and values, leading to backlash against what they perceive as the 'feminization' of men (Connell, 2005).</w:t>
      </w:r>
    </w:p>
    <w:p w14:paraId="5A44BA61" w14:textId="77777777" w:rsidR="001836B5" w:rsidRPr="00141F3A" w:rsidRDefault="001836B5" w:rsidP="000A2190">
      <w:pPr>
        <w:numPr>
          <w:ilvl w:val="0"/>
          <w:numId w:val="8"/>
        </w:numPr>
        <w:tabs>
          <w:tab w:val="clear" w:pos="720"/>
          <w:tab w:val="num" w:pos="-144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Commercialization</w:t>
      </w:r>
      <w:r w:rsidRPr="00141F3A">
        <w:rPr>
          <w:rFonts w:ascii="Century" w:eastAsia="Times New Roman" w:hAnsi="Century" w:cs="Times New Roman"/>
          <w:sz w:val="24"/>
          <w:szCs w:val="24"/>
        </w:rPr>
        <w:t>: There is a risk that some portrayals of nuanced masculinities are driven more by profit motives than by a genuine commitment to social change, potentially leading to superficial or tokenistic representations (Adorno, 1972).</w:t>
      </w:r>
    </w:p>
    <w:p w14:paraId="19AF0CC2"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Conclusion</w:t>
      </w:r>
    </w:p>
    <w:p w14:paraId="6B892911"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Media representation of masculinity is a powerful tool in the ongoing redefinition of gender roles. As media continues to evolve, its potential to influence societal attitudes towards masculinity and femininity remains significant. However, it is crucial for these portrayals to be thoughtful and grounded in a genuine understanding of the complexities of gender identity to foster a more inclusive and equitable society.</w:t>
      </w:r>
    </w:p>
    <w:p w14:paraId="07F97308" w14:textId="77777777" w:rsidR="001836B5" w:rsidRPr="00141F3A" w:rsidRDefault="001836B5">
      <w:pPr>
        <w:rPr>
          <w:rFonts w:ascii="Century" w:eastAsia="Times New Roman" w:hAnsi="Century" w:cs="Times New Roman"/>
          <w:sz w:val="24"/>
          <w:szCs w:val="24"/>
        </w:rPr>
      </w:pPr>
      <w:r w:rsidRPr="00141F3A">
        <w:rPr>
          <w:rFonts w:ascii="Century" w:eastAsia="Times New Roman" w:hAnsi="Century" w:cs="Times New Roman"/>
          <w:sz w:val="24"/>
          <w:szCs w:val="24"/>
        </w:rPr>
        <w:br w:type="page"/>
      </w:r>
    </w:p>
    <w:p w14:paraId="07BEA525" w14:textId="77777777" w:rsidR="001836B5" w:rsidRPr="00141F3A" w:rsidRDefault="001836B5" w:rsidP="001836B5">
      <w:pPr>
        <w:spacing w:before="100" w:beforeAutospacing="1" w:after="100" w:afterAutospacing="1" w:line="240" w:lineRule="auto"/>
        <w:rPr>
          <w:rFonts w:ascii="Century" w:eastAsia="Times New Roman" w:hAnsi="Century" w:cs="Times New Roman"/>
          <w:sz w:val="28"/>
          <w:szCs w:val="28"/>
        </w:rPr>
      </w:pPr>
      <w:r w:rsidRPr="00141F3A">
        <w:rPr>
          <w:rFonts w:ascii="Century" w:eastAsia="Times New Roman" w:hAnsi="Century" w:cs="Times New Roman"/>
          <w:b/>
          <w:bCs/>
          <w:sz w:val="28"/>
          <w:szCs w:val="28"/>
        </w:rPr>
        <w:lastRenderedPageBreak/>
        <w:t>Chapter 13: Health and Longevity: Women Outliving Men</w:t>
      </w:r>
    </w:p>
    <w:p w14:paraId="37D22880"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Statistically, women live longer than men across almost all societies globally. This chapter delves into the multifaceted reasons behind this longevity gap, examining biological, social, and behavioral factors that contribute to women’s extended life spans relative to men.</w:t>
      </w:r>
    </w:p>
    <w:p w14:paraId="146888D9"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Biological Factors</w:t>
      </w:r>
    </w:p>
    <w:p w14:paraId="0956B837"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Biological differences between the sexes provide some of the most fundamental explanations for the disparity in life expectancy. Research has shown that hormonal differences, particularly the protective effects of estrogen in women, play a significant role in cardiovascular health, potentially delaying the onset of heart diseases that are the leading cause of early death among men (Barrett-Connor, 1997).</w:t>
      </w:r>
    </w:p>
    <w:p w14:paraId="5EE5BF1D"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Behavioral and Lifestyle Factors</w:t>
      </w:r>
    </w:p>
    <w:p w14:paraId="2EE1B106"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Men tend to engage in riskier behaviors than women, including higher rates of smoking, alcohol consumption, and engaging in violent activities. These behaviors substantially contribute to higher mortality rates from lung cancer, liver diseases, and homicides among men (WHO, 2021). Additionally, men are statistically less likely to seek medical help or adhere to prescribed health regimes, further increasing their health risks (Addis &amp; Mahalik, 2003).</w:t>
      </w:r>
    </w:p>
    <w:p w14:paraId="235105D4"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Socioeconomic Influences</w:t>
      </w:r>
    </w:p>
    <w:p w14:paraId="765956E7"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Economic factors also play a critical role. Men often occupy more physically demanding and hazardous jobs, which can lead to higher rates of fatal occupational injuries. Economic stresses, often exacerbated by societal expectations of men as the primary breadwinners, can also lead to health-compromising stress (Kawachi &amp; Kennedy, 1997).</w:t>
      </w:r>
    </w:p>
    <w:p w14:paraId="5C67C14B"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Implications for Public Health Policy</w:t>
      </w:r>
    </w:p>
    <w:p w14:paraId="136F514F"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longevity gap has significant implications for public health and social services, particularly in aging populations. With women living longer, they are more likely to experience chronic conditions associated with old age and are more often left to live alone late in life, which can compound social and economic challenges (Arber &amp; Ginn, 1991).</w:t>
      </w:r>
    </w:p>
    <w:p w14:paraId="308F0F3A"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Conclusion</w:t>
      </w:r>
    </w:p>
    <w:p w14:paraId="7B480181" w14:textId="77777777" w:rsidR="001836B5" w:rsidRPr="00141F3A" w:rsidRDefault="001836B5" w:rsidP="00A2031E">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 xml:space="preserve">Understanding the gender disparities in health and longevity is crucial for developing targeted health policies and interventions that address the specific </w:t>
      </w:r>
      <w:r w:rsidRPr="00141F3A">
        <w:rPr>
          <w:rFonts w:ascii="Century" w:eastAsia="Times New Roman" w:hAnsi="Century" w:cs="Times New Roman"/>
          <w:sz w:val="24"/>
          <w:szCs w:val="24"/>
        </w:rPr>
        <w:lastRenderedPageBreak/>
        <w:t>needs of men and women differently and effectively. Enhancing men’s health awareness and encouraging safer lifestyle choices could help narrow the longevity gap, benefiting society as a whole.</w:t>
      </w:r>
    </w:p>
    <w:p w14:paraId="146E9F1D" w14:textId="77777777" w:rsidR="001836B5" w:rsidRPr="00141F3A" w:rsidRDefault="001836B5">
      <w:pPr>
        <w:rPr>
          <w:rFonts w:ascii="Century" w:eastAsia="Times New Roman" w:hAnsi="Century" w:cs="Times New Roman"/>
          <w:sz w:val="24"/>
          <w:szCs w:val="24"/>
        </w:rPr>
      </w:pPr>
      <w:r w:rsidRPr="00141F3A">
        <w:rPr>
          <w:rFonts w:ascii="Century" w:eastAsia="Times New Roman" w:hAnsi="Century" w:cs="Times New Roman"/>
          <w:sz w:val="24"/>
          <w:szCs w:val="24"/>
        </w:rPr>
        <w:br w:type="page"/>
      </w:r>
    </w:p>
    <w:p w14:paraId="72DAC8B7" w14:textId="77777777" w:rsidR="001836B5" w:rsidRPr="00141F3A" w:rsidRDefault="001836B5" w:rsidP="001836B5">
      <w:pPr>
        <w:spacing w:before="100" w:beforeAutospacing="1" w:after="100" w:afterAutospacing="1" w:line="240" w:lineRule="auto"/>
        <w:rPr>
          <w:rFonts w:ascii="Century" w:eastAsia="Times New Roman" w:hAnsi="Century" w:cs="Times New Roman"/>
          <w:sz w:val="28"/>
          <w:szCs w:val="28"/>
        </w:rPr>
      </w:pPr>
      <w:r w:rsidRPr="00141F3A">
        <w:rPr>
          <w:rFonts w:ascii="Century" w:eastAsia="Times New Roman" w:hAnsi="Century" w:cs="Times New Roman"/>
          <w:b/>
          <w:bCs/>
          <w:sz w:val="28"/>
          <w:szCs w:val="28"/>
        </w:rPr>
        <w:lastRenderedPageBreak/>
        <w:t>Chapter 14: Policy and Legal Changes: Reshaping Family and Work</w:t>
      </w:r>
    </w:p>
    <w:p w14:paraId="4E5302A0"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In recent decades, significant policy and legal reforms have been undertaken to better accommodate the evolving needs of families and workers in the modern economy. This chapter analyzes these changes, focusing on how they are reshaping the landscape of family structures and employment.</w:t>
      </w:r>
    </w:p>
    <w:p w14:paraId="61988E90"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Evolution of Family and Work Policies</w:t>
      </w:r>
    </w:p>
    <w:p w14:paraId="34A20D5E"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Policies have increasingly recognized the diverse realities of modern family life, including single parenthood, dual-career households, and the integration of work-life balance. Initiatives like flexible working hours, remote work opportunities, and parental leave advancements have become more prominent in legislative agendas globally (OECD, 2019).</w:t>
      </w:r>
    </w:p>
    <w:p w14:paraId="47E7ADEF"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Legal Reforms</w:t>
      </w:r>
    </w:p>
    <w:p w14:paraId="1E087B0D"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Legal reforms have paralleled policy changes, with significant amendments in family law, such as the legalization of same-sex marriage and the reformation of parental leave laws. These legal adjustments reflect a broader shift towards more inclusive and equitable frameworks that support various family forms and work arrangements (American Bar Association, 2018).</w:t>
      </w:r>
    </w:p>
    <w:p w14:paraId="4665514D"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Economic Implications</w:t>
      </w:r>
    </w:p>
    <w:p w14:paraId="37ECDDED"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These policy and legal shifts have not only social but also profound economic implications. By facilitating greater workforce participation among parents, particularly women, and by offering support for diverse family structures, these policies help to sustain economic productivity and foster a more inclusive economic growth model (Boushey, 2016).</w:t>
      </w:r>
    </w:p>
    <w:p w14:paraId="150A969B"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Challenges and Future Directions</w:t>
      </w:r>
    </w:p>
    <w:p w14:paraId="5240730D"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Despite progress, challenges remain in fully implementing these policies universally. Gaps in access to benefits, disparities in the application of laws, and the ongoing struggle to balance corporate competitiveness with worker well-being continue to pose significant hurdles (World Bank, 2020).</w:t>
      </w:r>
    </w:p>
    <w:p w14:paraId="0D8AA326"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Conclusion</w:t>
      </w:r>
    </w:p>
    <w:p w14:paraId="1AA1B216"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Policy and legal changes in the realms of family and work are ongoing and necessary to respond to the dynamic needs of modern societies. Continued advocacy, research, and policy innovation are essential to ensure that these reforms effectively support all members of society in navigating the complexities of modern family life and work demands.</w:t>
      </w:r>
    </w:p>
    <w:p w14:paraId="4839C232" w14:textId="77777777" w:rsidR="001836B5" w:rsidRPr="00141F3A" w:rsidRDefault="001836B5">
      <w:pPr>
        <w:rPr>
          <w:rFonts w:ascii="Century" w:eastAsia="Times New Roman" w:hAnsi="Century" w:cs="Times New Roman"/>
          <w:sz w:val="24"/>
          <w:szCs w:val="24"/>
        </w:rPr>
      </w:pPr>
      <w:r w:rsidRPr="00141F3A">
        <w:rPr>
          <w:rFonts w:ascii="Century" w:eastAsia="Times New Roman" w:hAnsi="Century" w:cs="Times New Roman"/>
          <w:sz w:val="24"/>
          <w:szCs w:val="24"/>
        </w:rPr>
        <w:lastRenderedPageBreak/>
        <w:br w:type="page"/>
      </w:r>
    </w:p>
    <w:p w14:paraId="6ADBC796" w14:textId="77777777" w:rsidR="001836B5" w:rsidRPr="00141F3A" w:rsidRDefault="001836B5" w:rsidP="001836B5">
      <w:pPr>
        <w:spacing w:before="100" w:beforeAutospacing="1" w:after="100" w:afterAutospacing="1" w:line="240" w:lineRule="auto"/>
        <w:rPr>
          <w:rFonts w:ascii="Century" w:eastAsia="Times New Roman" w:hAnsi="Century" w:cs="Times New Roman"/>
          <w:sz w:val="28"/>
          <w:szCs w:val="28"/>
        </w:rPr>
      </w:pPr>
      <w:r w:rsidRPr="00141F3A">
        <w:rPr>
          <w:rFonts w:ascii="Century" w:eastAsia="Times New Roman" w:hAnsi="Century" w:cs="Times New Roman"/>
          <w:b/>
          <w:bCs/>
          <w:sz w:val="28"/>
          <w:szCs w:val="28"/>
        </w:rPr>
        <w:lastRenderedPageBreak/>
        <w:t>Chapter 15: Firearm-Related Male Deaths: Societal Vulnerabilities</w:t>
      </w:r>
    </w:p>
    <w:p w14:paraId="0C84B404"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Firearm-related deaths have emerged as a critical public health issue, disproportionately affecting men across various societies. This chapter examines the scale and impact of firearm deaths among men, exploring the interplay of cultural, regulatory, and psychological factors that contribute to this disturbing trend.</w:t>
      </w:r>
    </w:p>
    <w:p w14:paraId="59FAADEE"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Statistical Overview</w:t>
      </w:r>
    </w:p>
    <w:p w14:paraId="00EF714F"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In the United States, the issue is particularly acute, with firearms being the leading cause of death for men under the age of 45. Data from the Centers for Disease Control and Prevention (CDC, 2022) reveal that men account for over 85% of all firearm deaths, a statistic that includes both homicides and suicides.</w:t>
      </w:r>
    </w:p>
    <w:p w14:paraId="7CDAA21C"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Cultural and Societal Influences</w:t>
      </w:r>
    </w:p>
    <w:p w14:paraId="6A8A1823"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prevalence of firearms in male deaths is deeply intertwined with cultural norms surrounding masculinity and power. Societal expectations often equate gun ownership with strength and autonomy, characteristics traditionally valued in male identities. This cultural backdrop not only normalizes but sometimes even valorizes the possession and use of firearms among men (Connell, 2005).</w:t>
      </w:r>
    </w:p>
    <w:p w14:paraId="4ECCE7C8"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Regulatory Frameworks</w:t>
      </w:r>
    </w:p>
    <w:p w14:paraId="25E4C12B"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Differences in regulatory frameworks significantly influence the incidence of firearm-related deaths. Countries with stringent gun control laws, such as Japan and the United Kingdom, report drastically lower rates of firearm deaths compared to the United States, where gun ownership laws are more lenient (UNODC, 2019). The correlation between regulatory environments and the rate of firearm deaths highlights the impact of policy in shaping these outcomes.</w:t>
      </w:r>
    </w:p>
    <w:p w14:paraId="53D35C79"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Impact on Public Health and Safety</w:t>
      </w:r>
    </w:p>
    <w:p w14:paraId="6E8F5D3B"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public health implications of high rates of firearm-related deaths among men are profound. Beyond the immediate loss of life, communities experience increased healthcare costs, lost productivity, and pervasive psychological trauma. Families and communities often bear the brunt of the long-term emotional and financial costs associated with gun violence (WHO, 2021).</w:t>
      </w:r>
    </w:p>
    <w:p w14:paraId="0CF88105"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Prevention and Intervention Strategies</w:t>
      </w:r>
    </w:p>
    <w:p w14:paraId="347A558A"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Addressing this crisis requires a comprehensive approach that includes:</w:t>
      </w:r>
    </w:p>
    <w:p w14:paraId="543055DD" w14:textId="77777777" w:rsidR="001836B5" w:rsidRPr="00141F3A" w:rsidRDefault="001836B5" w:rsidP="000A2190">
      <w:pPr>
        <w:numPr>
          <w:ilvl w:val="0"/>
          <w:numId w:val="9"/>
        </w:numPr>
        <w:tabs>
          <w:tab w:val="clear" w:pos="720"/>
          <w:tab w:val="num" w:pos="-108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lastRenderedPageBreak/>
        <w:t>Enhanced Regulatory Measures</w:t>
      </w:r>
      <w:r w:rsidRPr="00141F3A">
        <w:rPr>
          <w:rFonts w:ascii="Century" w:eastAsia="Times New Roman" w:hAnsi="Century" w:cs="Times New Roman"/>
          <w:sz w:val="24"/>
          <w:szCs w:val="24"/>
        </w:rPr>
        <w:t>: Implementing and enforcing stricter gun control laws can reduce access to firearms and, consequently, the number of firearm-related deaths.</w:t>
      </w:r>
    </w:p>
    <w:p w14:paraId="5D5AEB1B" w14:textId="77777777" w:rsidR="001836B5" w:rsidRPr="00141F3A" w:rsidRDefault="001836B5" w:rsidP="000A2190">
      <w:pPr>
        <w:numPr>
          <w:ilvl w:val="0"/>
          <w:numId w:val="9"/>
        </w:numPr>
        <w:tabs>
          <w:tab w:val="clear" w:pos="720"/>
          <w:tab w:val="num" w:pos="-108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Cultural Interventions</w:t>
      </w:r>
      <w:r w:rsidRPr="00141F3A">
        <w:rPr>
          <w:rFonts w:ascii="Century" w:eastAsia="Times New Roman" w:hAnsi="Century" w:cs="Times New Roman"/>
          <w:sz w:val="24"/>
          <w:szCs w:val="24"/>
        </w:rPr>
        <w:t>: Programs aimed at reshaping societal attitudes towards masculinity and firearms are crucial. These should promote alternative models of masculinity that dissociate strength from violence (Kimmel, 2018).</w:t>
      </w:r>
    </w:p>
    <w:p w14:paraId="03FA5343" w14:textId="77777777" w:rsidR="001836B5" w:rsidRPr="00141F3A" w:rsidRDefault="001836B5" w:rsidP="000A2190">
      <w:pPr>
        <w:numPr>
          <w:ilvl w:val="0"/>
          <w:numId w:val="9"/>
        </w:numPr>
        <w:tabs>
          <w:tab w:val="clear" w:pos="720"/>
          <w:tab w:val="num" w:pos="-1080"/>
        </w:tabs>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Mental Health Support</w:t>
      </w:r>
      <w:r w:rsidRPr="00141F3A">
        <w:rPr>
          <w:rFonts w:ascii="Century" w:eastAsia="Times New Roman" w:hAnsi="Century" w:cs="Times New Roman"/>
          <w:sz w:val="24"/>
          <w:szCs w:val="24"/>
        </w:rPr>
        <w:t>: Expanding access to mental health services for men can address underlying issues such as depression and anxiety, which are often precursors to suicide attempts involving firearms.</w:t>
      </w:r>
    </w:p>
    <w:p w14:paraId="3558ECC2"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Conclusion</w:t>
      </w:r>
    </w:p>
    <w:p w14:paraId="2F7FA9E4"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issue of firearm-related male deaths presents a multifaceted challenge that intersects with cultural norms, regulatory policies, and public health initiatives. Reducing these deaths requires a multidimensional strategy that addresses the roots of the crisis—namely, cultural perceptions of masculinity, mental health stigmatization, and regulatory gaps in gun control. As societies continue to grapple with this issue, it becomes increasingly clear that addressing firearm-related deaths among men will not only save lives but also enhance the overall well-being of communities.</w:t>
      </w:r>
    </w:p>
    <w:p w14:paraId="4FA55A62" w14:textId="77777777" w:rsidR="001836B5" w:rsidRPr="00141F3A" w:rsidRDefault="001836B5">
      <w:pPr>
        <w:rPr>
          <w:rFonts w:ascii="Century" w:eastAsia="Times New Roman" w:hAnsi="Century" w:cs="Times New Roman"/>
          <w:sz w:val="24"/>
          <w:szCs w:val="24"/>
        </w:rPr>
      </w:pPr>
      <w:r w:rsidRPr="00141F3A">
        <w:rPr>
          <w:rFonts w:ascii="Century" w:eastAsia="Times New Roman" w:hAnsi="Century" w:cs="Times New Roman"/>
          <w:sz w:val="24"/>
          <w:szCs w:val="24"/>
        </w:rPr>
        <w:br w:type="page"/>
      </w:r>
    </w:p>
    <w:p w14:paraId="1589312E" w14:textId="77777777" w:rsidR="001836B5" w:rsidRPr="00141F3A" w:rsidRDefault="001836B5" w:rsidP="001836B5">
      <w:pPr>
        <w:spacing w:before="100" w:beforeAutospacing="1" w:after="100" w:afterAutospacing="1" w:line="240" w:lineRule="auto"/>
        <w:rPr>
          <w:rFonts w:ascii="Century" w:eastAsia="Times New Roman" w:hAnsi="Century" w:cs="Times New Roman"/>
          <w:sz w:val="28"/>
          <w:szCs w:val="28"/>
        </w:rPr>
      </w:pPr>
      <w:r w:rsidRPr="00141F3A">
        <w:rPr>
          <w:rFonts w:ascii="Century" w:eastAsia="Times New Roman" w:hAnsi="Century" w:cs="Times New Roman"/>
          <w:b/>
          <w:bCs/>
          <w:sz w:val="28"/>
          <w:szCs w:val="28"/>
        </w:rPr>
        <w:lastRenderedPageBreak/>
        <w:t>Chapter 16: Feminization in North America: Comparing the United States and Canada</w:t>
      </w:r>
    </w:p>
    <w:p w14:paraId="4B306171"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term "feminization" refers to the increasing presence and influence of women in various societal sectors, including economics, politics, and education. This chapter explores the phenomenon of feminization in North America, with a comparative analysis of its manifestations and impacts in the United States and Canada.</w:t>
      </w:r>
    </w:p>
    <w:p w14:paraId="1A16FA94"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Historical Context and Current Trends</w:t>
      </w:r>
    </w:p>
    <w:p w14:paraId="7E97C106"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Both the United States and Canada have seen significant strides in gender equality over the past several decades. Women's increased participation in higher education and the workforce, along with more substantial roles in political leadership, characterize the feminization trends in both countries. However, while both countries share these broad trends, the nuances of their cultural, political, and economic contexts offer a rich field for comparative analysis.</w:t>
      </w:r>
    </w:p>
    <w:p w14:paraId="1ED50B67"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Education and Workforce Participation</w:t>
      </w:r>
    </w:p>
    <w:p w14:paraId="6E232A95"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In both the United States and Canada, women have achieved or exceeded parity with men in higher education. As of 2020, women accounted for over 56% of college and university students in both countries. This educational attainment has translated into increased workforce participation, though the extent and nature of that participation differ due to varying social policies and labor market dynamics (Statistics Canada, 2020; U.S. Department of Education, 2020).</w:t>
      </w:r>
    </w:p>
    <w:p w14:paraId="562590DC"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Political Representation</w:t>
      </w:r>
    </w:p>
    <w:p w14:paraId="7A333623"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In political representation, Canada has often outpaced the United States. As of 2021, women held 30% of the seats in Canada’s Parliament, compared to 27% in the U.S. Congress. This difference can be partly attributed to different political structures and the use of gender quotas in Canada, which are absent in the United States (Inter-Parliamentary Union, 2021).</w:t>
      </w:r>
    </w:p>
    <w:p w14:paraId="19B0E456"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Cultural Attitudes Towards Gender Roles</w:t>
      </w:r>
    </w:p>
    <w:p w14:paraId="32348864"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Cultural attitudes toward gender roles also show significant variation. Canadian society generally exhibits more progressive attitudes towards gender equality and feminism, likely influenced by more comprehensive social welfare policies and a political culture that has historically embraced liberal values more consistently than the U.S. This difference is reflected in public policy and societal expectations regarding gender roles (Pew Research Center, 2020).</w:t>
      </w:r>
    </w:p>
    <w:p w14:paraId="2461334E"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Economic Impacts</w:t>
      </w:r>
    </w:p>
    <w:p w14:paraId="3FF9FC0C"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lastRenderedPageBreak/>
        <w:t>The economic impact of feminization can be seen in both countries, with increasing numbers of women in the workforce contributing to economic growth. However, the economic participation rate of women still faces challenges such as wage disparity, underemployment, and the glass ceiling, issues that persist in both countries, albeit to varying degrees (OECD, 2021).</w:t>
      </w:r>
    </w:p>
    <w:p w14:paraId="7447217D"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Policy Implications and Future Directions</w:t>
      </w:r>
    </w:p>
    <w:p w14:paraId="67DC9D09"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Looking forward, both the United States and Canada face the challenge of translating women's educational gains into equivalent economic and political power. Policies aimed at reducing gender wage gaps, supporting women in leadership roles, and accommodating work-life balance (such as childcare and parental leave) will be critical in further advancing feminization in these societies.</w:t>
      </w:r>
    </w:p>
    <w:p w14:paraId="15816060"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b/>
          <w:bCs/>
          <w:sz w:val="24"/>
          <w:szCs w:val="24"/>
        </w:rPr>
        <w:t>Conclusion</w:t>
      </w:r>
    </w:p>
    <w:p w14:paraId="1F5B1141" w14:textId="77777777" w:rsidR="00A53B72" w:rsidRPr="00141F3A" w:rsidRDefault="001836B5" w:rsidP="001836B5">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While both the United States and Canada have made considerable progress in the feminization of their societies, the journey towards full gender parity remains incomplete. By continuing to foster policies that support gender equality and address persistent barriers, both nations can further capitalize on the benefits of a more inclusive and equitable social framework. Understanding the successes and shortcomings in each country provides valuable lessons for policymakers, activists, and society at large in striving for a more gender-balanced future.</w:t>
      </w:r>
    </w:p>
    <w:p w14:paraId="03B19DF1" w14:textId="77777777" w:rsidR="00A53B72" w:rsidRPr="00141F3A" w:rsidRDefault="00A53B72">
      <w:pPr>
        <w:rPr>
          <w:rFonts w:ascii="Century" w:eastAsia="Times New Roman" w:hAnsi="Century" w:cs="Times New Roman"/>
          <w:sz w:val="24"/>
          <w:szCs w:val="24"/>
        </w:rPr>
      </w:pPr>
      <w:r w:rsidRPr="00141F3A">
        <w:rPr>
          <w:rFonts w:ascii="Century" w:eastAsia="Times New Roman" w:hAnsi="Century" w:cs="Times New Roman"/>
          <w:sz w:val="24"/>
          <w:szCs w:val="24"/>
        </w:rPr>
        <w:br w:type="page"/>
      </w:r>
    </w:p>
    <w:p w14:paraId="5004EA49" w14:textId="77777777" w:rsidR="00A53B72" w:rsidRPr="00141F3A" w:rsidRDefault="00A53B72" w:rsidP="00A53B72">
      <w:pPr>
        <w:spacing w:before="100" w:beforeAutospacing="1" w:after="100" w:afterAutospacing="1" w:line="240" w:lineRule="auto"/>
        <w:outlineLvl w:val="2"/>
        <w:rPr>
          <w:rFonts w:ascii="Century" w:eastAsia="Times New Roman" w:hAnsi="Century" w:cstheme="minorHAnsi"/>
          <w:b/>
          <w:bCs/>
          <w:sz w:val="28"/>
          <w:szCs w:val="28"/>
        </w:rPr>
      </w:pPr>
      <w:r w:rsidRPr="00141F3A">
        <w:rPr>
          <w:rFonts w:ascii="Century" w:eastAsia="Times New Roman" w:hAnsi="Century" w:cstheme="minorHAnsi"/>
          <w:b/>
          <w:bCs/>
          <w:sz w:val="28"/>
          <w:szCs w:val="28"/>
        </w:rPr>
        <w:lastRenderedPageBreak/>
        <w:t xml:space="preserve">Chapter 17: </w:t>
      </w:r>
      <w:r w:rsidRPr="00141F3A">
        <w:rPr>
          <w:rFonts w:ascii="Century" w:hAnsi="Century" w:cstheme="minorHAnsi"/>
          <w:sz w:val="28"/>
          <w:szCs w:val="28"/>
        </w:rPr>
        <w:t xml:space="preserve">When is Enough </w:t>
      </w:r>
      <w:proofErr w:type="spellStart"/>
      <w:r w:rsidRPr="00141F3A">
        <w:rPr>
          <w:rFonts w:ascii="Century" w:hAnsi="Century" w:cstheme="minorHAnsi"/>
          <w:sz w:val="28"/>
          <w:szCs w:val="28"/>
        </w:rPr>
        <w:t>Enough</w:t>
      </w:r>
      <w:proofErr w:type="spellEnd"/>
      <w:r w:rsidRPr="00141F3A">
        <w:rPr>
          <w:rFonts w:ascii="Century" w:hAnsi="Century" w:cstheme="minorHAnsi"/>
          <w:sz w:val="28"/>
          <w:szCs w:val="28"/>
        </w:rPr>
        <w:t>? Exploring the Bounds of Feminization</w:t>
      </w:r>
    </w:p>
    <w:p w14:paraId="679CD426" w14:textId="77777777" w:rsidR="00A53B72" w:rsidRPr="00141F3A" w:rsidRDefault="00A53B72" w:rsidP="00A53B72">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The ideology of feminization advocates for increasing the presence and influence of traditionally feminine values and roles across various sectors of society. While it is a response to the historical and ongoing gender disparities, its application as a broad societal ideology raises important questions about the extent and impacts of its implementation. This discourse aims to explore the balance between the promotion of feminization and its potential to unintentionally transcend its objectives, perhaps leading to unforeseen consequences for all genders.</w:t>
      </w:r>
    </w:p>
    <w:p w14:paraId="0683A9A6" w14:textId="77777777" w:rsidR="00A53B72" w:rsidRPr="00141F3A" w:rsidRDefault="00A53B72" w:rsidP="00A53B72">
      <w:pPr>
        <w:spacing w:before="100" w:beforeAutospacing="1" w:after="100" w:afterAutospacing="1" w:line="240" w:lineRule="auto"/>
        <w:outlineLvl w:val="3"/>
        <w:rPr>
          <w:rFonts w:ascii="Century" w:eastAsia="Times New Roman" w:hAnsi="Century" w:cs="Times New Roman"/>
          <w:b/>
          <w:bCs/>
          <w:sz w:val="24"/>
          <w:szCs w:val="24"/>
        </w:rPr>
      </w:pPr>
      <w:r w:rsidRPr="00141F3A">
        <w:rPr>
          <w:rFonts w:ascii="Century" w:eastAsia="Times New Roman" w:hAnsi="Century" w:cs="Times New Roman"/>
          <w:b/>
          <w:bCs/>
          <w:sz w:val="24"/>
          <w:szCs w:val="24"/>
        </w:rPr>
        <w:t>The Overreach of Feminization</w:t>
      </w:r>
    </w:p>
    <w:p w14:paraId="040FF1BE" w14:textId="77777777" w:rsidR="00A53B72" w:rsidRPr="00141F3A" w:rsidRDefault="00A53B72" w:rsidP="00A53B72">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Evidence suggests that in some areas, the push for feminization has not only met its goals but perhaps exceeded them, leading to new imbalances. In the realm of education, for example, boys are now outperformed by girls at almost every level, from elementary to tertiary education. In the United States, women earned 57.4% of bachelor's degrees in the 2016-2017 academic year, a trend that has been consistent since the early 1980s. This educational disparity raises concerns about whether the academic environment has become more conducive to one gender over another.</w:t>
      </w:r>
    </w:p>
    <w:p w14:paraId="72B9AE7B" w14:textId="77777777" w:rsidR="00A53B72" w:rsidRPr="00141F3A" w:rsidRDefault="00A53B72" w:rsidP="00A53B72">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Moreover, the education system from birth through adulthood has increasingly adopted a feminized approach, emphasizing cooperation, empathy, and communication—traditionally considered feminine traits. While these are undoubtedly valuable skills, the emphasis on them has sparked a debate about whether such an approach adequately serves the developmental needs of boys, who may thrive in environments that also promote competition and risk-taking.</w:t>
      </w:r>
    </w:p>
    <w:p w14:paraId="5867A82E" w14:textId="77777777" w:rsidR="00A53B72" w:rsidRPr="00141F3A" w:rsidRDefault="00A53B72" w:rsidP="00A53B72">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Similarly, the raising of children has seen a significant shift towards feminization. Parenting styles have increasingly leaned towards nurturing and protective methods, often associated with traditional feminine roles. This shift, while beneficial in fostering secure and supportive environments, also raises questions about the balance of exposure to diverse experiences and challenges that contribute to a well-rounded development.</w:t>
      </w:r>
    </w:p>
    <w:p w14:paraId="1BABE486" w14:textId="77777777" w:rsidR="00A53B72" w:rsidRPr="00141F3A" w:rsidRDefault="00A53B72" w:rsidP="00A53B72">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In the workforce, the feminization of certain professions, such as nursing, teaching, and social work, has led to significant gender imbalances within these fields. While these professions have become more inclusive of women, which is undoubtedly a positive development, the overwhelming presence of one gender can skew perceptions about the suitability of men in these roles, potentially discouraging male participation.</w:t>
      </w:r>
    </w:p>
    <w:p w14:paraId="2C6AAD2A" w14:textId="77777777" w:rsidR="00A53B72" w:rsidRPr="00141F3A" w:rsidRDefault="00A53B72" w:rsidP="00A53B72">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 xml:space="preserve">Furthermore, in some social policies, such as parental leave, the focus on empowering women can inadvertently sideline men. For instance, in countries like </w:t>
      </w:r>
      <w:r w:rsidRPr="00141F3A">
        <w:rPr>
          <w:rFonts w:ascii="Century" w:eastAsia="Times New Roman" w:hAnsi="Century" w:cs="Times New Roman"/>
          <w:sz w:val="24"/>
          <w:szCs w:val="24"/>
        </w:rPr>
        <w:lastRenderedPageBreak/>
        <w:t xml:space="preserve">Sweden, despite having one of the most progressive </w:t>
      </w:r>
      <w:proofErr w:type="gramStart"/>
      <w:r w:rsidRPr="00141F3A">
        <w:rPr>
          <w:rFonts w:ascii="Century" w:eastAsia="Times New Roman" w:hAnsi="Century" w:cs="Times New Roman"/>
          <w:sz w:val="24"/>
          <w:szCs w:val="24"/>
        </w:rPr>
        <w:t>parental</w:t>
      </w:r>
      <w:proofErr w:type="gramEnd"/>
      <w:r w:rsidRPr="00141F3A">
        <w:rPr>
          <w:rFonts w:ascii="Century" w:eastAsia="Times New Roman" w:hAnsi="Century" w:cs="Times New Roman"/>
          <w:sz w:val="24"/>
          <w:szCs w:val="24"/>
        </w:rPr>
        <w:t xml:space="preserve"> leave policies in the world, men took only about 30% of all parental leave days in 2017. This suggests that even in societies striving for gender equality, there are underlying expectations and cultural norms that limit the full integration of policies intended to be gender-neutral.</w:t>
      </w:r>
    </w:p>
    <w:p w14:paraId="1381FED9" w14:textId="77777777" w:rsidR="00A53B72" w:rsidRPr="00141F3A" w:rsidRDefault="00A53B72" w:rsidP="00A53B72">
      <w:pPr>
        <w:spacing w:before="100" w:beforeAutospacing="1" w:after="100" w:afterAutospacing="1" w:line="240" w:lineRule="auto"/>
        <w:outlineLvl w:val="3"/>
        <w:rPr>
          <w:rFonts w:ascii="Century" w:eastAsia="Times New Roman" w:hAnsi="Century" w:cs="Times New Roman"/>
          <w:b/>
          <w:bCs/>
          <w:sz w:val="24"/>
          <w:szCs w:val="24"/>
        </w:rPr>
      </w:pPr>
      <w:r w:rsidRPr="00141F3A">
        <w:rPr>
          <w:rFonts w:ascii="Century" w:eastAsia="Times New Roman" w:hAnsi="Century" w:cs="Times New Roman"/>
          <w:b/>
          <w:bCs/>
          <w:sz w:val="24"/>
          <w:szCs w:val="24"/>
        </w:rPr>
        <w:t>Areas Requiring Continued Advocacy</w:t>
      </w:r>
    </w:p>
    <w:p w14:paraId="7D1A9575" w14:textId="77777777" w:rsidR="00A53B72" w:rsidRPr="00141F3A" w:rsidRDefault="00A53B72" w:rsidP="00A53B72">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Conversely, the feminization ideology still has significant ground to cover, particularly in regions where patriarchal structures are deeply embedded into the cultural and legal frameworks. In many theocratic nations, for example, women continue to face systemic oppression under laws that restrict everything from their dress to their ability to travel without male guardianship. In countries like Afghanistan and Iran, the fight for basic women's rights continues amidst severe penalties for non-compliance with state-imposed standards of femininity and behavior.</w:t>
      </w:r>
    </w:p>
    <w:p w14:paraId="7FE4A668" w14:textId="77777777" w:rsidR="00A53B72" w:rsidRPr="00141F3A" w:rsidRDefault="00A53B72" w:rsidP="00A53B72">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Additionally, in many parts of the world, women's participation in politics and higher-level corporate positions remains disproportionately low. According to the World Bank, as of 2020, women only made up 24.9% of national parliaments globally. This underrepresentation in decision-making roles limits the ability of women to influence policies that impact their lives and, by extension, the societal balance.</w:t>
      </w:r>
    </w:p>
    <w:p w14:paraId="01D0DC32" w14:textId="77777777" w:rsidR="00A53B72" w:rsidRPr="00141F3A" w:rsidRDefault="00A53B72" w:rsidP="00A53B72">
      <w:pPr>
        <w:spacing w:before="100" w:beforeAutospacing="1" w:after="100" w:afterAutospacing="1" w:line="240" w:lineRule="auto"/>
        <w:outlineLvl w:val="3"/>
        <w:rPr>
          <w:rFonts w:ascii="Century" w:eastAsia="Times New Roman" w:hAnsi="Century" w:cs="Times New Roman"/>
          <w:b/>
          <w:bCs/>
          <w:sz w:val="24"/>
          <w:szCs w:val="24"/>
        </w:rPr>
      </w:pPr>
      <w:r w:rsidRPr="00141F3A">
        <w:rPr>
          <w:rFonts w:ascii="Century" w:eastAsia="Times New Roman" w:hAnsi="Century" w:cs="Times New Roman"/>
          <w:b/>
          <w:bCs/>
          <w:sz w:val="24"/>
          <w:szCs w:val="24"/>
        </w:rPr>
        <w:t>Balancing Interests and Monitoring Impacts</w:t>
      </w:r>
    </w:p>
    <w:p w14:paraId="449C19BE" w14:textId="77777777" w:rsidR="00A53B72" w:rsidRPr="00141F3A" w:rsidRDefault="00A53B72" w:rsidP="00A53B72">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To navigate the complexities introduced by feminization, it is crucial to</w:t>
      </w:r>
      <w:r w:rsidR="00141F3A">
        <w:rPr>
          <w:rFonts w:ascii="Century" w:eastAsia="Times New Roman" w:hAnsi="Century" w:cs="Times New Roman"/>
          <w:sz w:val="24"/>
          <w:szCs w:val="24"/>
        </w:rPr>
        <w:t xml:space="preserve"> </w:t>
      </w:r>
      <w:r w:rsidRPr="00141F3A">
        <w:rPr>
          <w:rFonts w:ascii="Century" w:eastAsia="Times New Roman" w:hAnsi="Century" w:cs="Times New Roman"/>
          <w:sz w:val="24"/>
          <w:szCs w:val="24"/>
        </w:rPr>
        <w:t xml:space="preserve">continuously monitor the outcomes of gender-focused policies and cultural shifts. The emphasis should not merely be on increasing the presence of women or </w:t>
      </w:r>
      <w:r w:rsidR="00141F3A">
        <w:rPr>
          <w:rFonts w:ascii="Century" w:eastAsia="Times New Roman" w:hAnsi="Century" w:cs="Times New Roman"/>
          <w:sz w:val="24"/>
          <w:szCs w:val="24"/>
        </w:rPr>
        <w:t>f</w:t>
      </w:r>
      <w:r w:rsidRPr="00141F3A">
        <w:rPr>
          <w:rFonts w:ascii="Century" w:eastAsia="Times New Roman" w:hAnsi="Century" w:cs="Times New Roman"/>
          <w:sz w:val="24"/>
          <w:szCs w:val="24"/>
        </w:rPr>
        <w:t>eminine values but on fostering an environment where all genders can thrive equally. This requires a nuanced approach that considers the varied impacts of feminization across different contexts.</w:t>
      </w:r>
    </w:p>
    <w:p w14:paraId="339474FA" w14:textId="77777777" w:rsidR="00A53B72" w:rsidRPr="00141F3A" w:rsidRDefault="00A53B72" w:rsidP="00A53B72">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It is essential to develop mechanisms that can dynamically assess the effectiveness and repercussions of gender policies. Such mechanisms should ensure that while the rights and opportunities for women are enhanced, they do not inadvertently impair the prospects for men. Equality must be the cornerstone of any policy, with the goal to empower all individuals, regardless of gender, to participate fully in all aspects of society.</w:t>
      </w:r>
    </w:p>
    <w:p w14:paraId="61587B54" w14:textId="77777777" w:rsidR="00A53B72" w:rsidRPr="00141F3A" w:rsidRDefault="00A53B72" w:rsidP="00A53B72">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Moreover, gender advocacy must be adaptable to the cultural contexts of different regions. What works in a secular, liberal democracy might not be applicable in a theocratic or deeply traditional society. Thus, international cooperation and cultural sensitivity are imperative in promoting gender equality globally.</w:t>
      </w:r>
    </w:p>
    <w:p w14:paraId="1A801D8F" w14:textId="77777777" w:rsidR="00A53B72" w:rsidRPr="00141F3A" w:rsidRDefault="00A53B72" w:rsidP="00A53B72">
      <w:pPr>
        <w:spacing w:before="100" w:beforeAutospacing="1" w:after="100" w:afterAutospacing="1" w:line="240" w:lineRule="auto"/>
        <w:outlineLvl w:val="3"/>
        <w:rPr>
          <w:rFonts w:ascii="Century" w:eastAsia="Times New Roman" w:hAnsi="Century" w:cs="Times New Roman"/>
          <w:b/>
          <w:bCs/>
          <w:sz w:val="24"/>
          <w:szCs w:val="24"/>
        </w:rPr>
      </w:pPr>
      <w:r w:rsidRPr="00141F3A">
        <w:rPr>
          <w:rFonts w:ascii="Century" w:eastAsia="Times New Roman" w:hAnsi="Century" w:cs="Times New Roman"/>
          <w:b/>
          <w:bCs/>
          <w:sz w:val="24"/>
          <w:szCs w:val="24"/>
        </w:rPr>
        <w:lastRenderedPageBreak/>
        <w:t>Conclusion</w:t>
      </w:r>
    </w:p>
    <w:p w14:paraId="3FFABAD6" w14:textId="77777777" w:rsidR="00A53B72" w:rsidRPr="00141F3A" w:rsidRDefault="00A53B72" w:rsidP="00A53B72">
      <w:pPr>
        <w:spacing w:before="100" w:beforeAutospacing="1" w:after="100" w:afterAutospacing="1" w:line="240" w:lineRule="auto"/>
        <w:rPr>
          <w:rFonts w:ascii="Century" w:eastAsia="Times New Roman" w:hAnsi="Century" w:cs="Times New Roman"/>
          <w:sz w:val="24"/>
          <w:szCs w:val="24"/>
        </w:rPr>
      </w:pPr>
      <w:r w:rsidRPr="00141F3A">
        <w:rPr>
          <w:rFonts w:ascii="Century" w:eastAsia="Times New Roman" w:hAnsi="Century" w:cs="Times New Roman"/>
          <w:sz w:val="24"/>
          <w:szCs w:val="24"/>
        </w:rPr>
        <w:t>In conclusion, while feminization as an ideology has contributed significantly to rectifying historical gender imbalances, there is a critical need to assess its scope and limitations. Advocacy must be balanced and informed by ongoing evaluation to ensure that it promotes true equality. This involves recognizing areas where feminization has succeeded, understanding where it has potentially overstepped, and identifying where much work still needs to be done. Through such a balanced approach, society can ensure that the advocacy for any gender does not turn into the suppression of another, thus maintaining the delicate equilibrium necessary for genuine equality.</w:t>
      </w:r>
    </w:p>
    <w:p w14:paraId="10DE6CF3" w14:textId="77777777" w:rsidR="000A2190" w:rsidRPr="00141F3A" w:rsidRDefault="000A2190" w:rsidP="001836B5">
      <w:pPr>
        <w:spacing w:before="100" w:beforeAutospacing="1" w:after="100" w:afterAutospacing="1" w:line="240" w:lineRule="auto"/>
        <w:rPr>
          <w:rFonts w:ascii="Century" w:eastAsia="Times New Roman" w:hAnsi="Century" w:cs="Times New Roman"/>
          <w:sz w:val="24"/>
          <w:szCs w:val="24"/>
        </w:rPr>
      </w:pPr>
    </w:p>
    <w:p w14:paraId="40066B83" w14:textId="77777777" w:rsidR="000A2190" w:rsidRPr="00141F3A" w:rsidRDefault="000A2190">
      <w:pPr>
        <w:rPr>
          <w:rFonts w:ascii="Century" w:eastAsia="Times New Roman" w:hAnsi="Century" w:cs="Times New Roman"/>
          <w:sz w:val="24"/>
          <w:szCs w:val="24"/>
        </w:rPr>
      </w:pPr>
      <w:r w:rsidRPr="00141F3A">
        <w:rPr>
          <w:rFonts w:ascii="Century" w:eastAsia="Times New Roman" w:hAnsi="Century" w:cs="Times New Roman"/>
          <w:sz w:val="24"/>
          <w:szCs w:val="24"/>
        </w:rPr>
        <w:br w:type="page"/>
      </w:r>
    </w:p>
    <w:p w14:paraId="51575422" w14:textId="77777777" w:rsidR="00A849DA" w:rsidRPr="00141F3A" w:rsidRDefault="000A2190" w:rsidP="000A2190">
      <w:pPr>
        <w:jc w:val="center"/>
        <w:rPr>
          <w:rFonts w:ascii="Century" w:hAnsi="Century"/>
          <w:i/>
          <w:sz w:val="32"/>
          <w:szCs w:val="32"/>
        </w:rPr>
      </w:pPr>
      <w:r w:rsidRPr="00141F3A">
        <w:rPr>
          <w:rFonts w:ascii="Century" w:hAnsi="Century"/>
          <w:i/>
          <w:sz w:val="32"/>
          <w:szCs w:val="32"/>
        </w:rPr>
        <w:lastRenderedPageBreak/>
        <w:t>EPILOGUE</w:t>
      </w:r>
    </w:p>
    <w:p w14:paraId="1E438A80" w14:textId="77777777" w:rsidR="000A2190" w:rsidRPr="00141F3A" w:rsidRDefault="000A2190" w:rsidP="00A849DA">
      <w:pPr>
        <w:rPr>
          <w:rFonts w:ascii="Century" w:hAnsi="Century"/>
          <w:i/>
          <w:sz w:val="32"/>
          <w:szCs w:val="32"/>
        </w:rPr>
      </w:pPr>
      <w:r w:rsidRPr="00141F3A">
        <w:rPr>
          <w:rFonts w:ascii="Century" w:hAnsi="Century"/>
          <w:i/>
          <w:sz w:val="32"/>
          <w:szCs w:val="32"/>
        </w:rPr>
        <w:t xml:space="preserve"> </w:t>
      </w:r>
      <w:r w:rsidRPr="00141F3A">
        <w:rPr>
          <w:rFonts w:ascii="Century" w:hAnsi="Century"/>
          <w:sz w:val="32"/>
          <w:szCs w:val="32"/>
        </w:rPr>
        <w:t>Toward A Balanced Future</w:t>
      </w:r>
    </w:p>
    <w:p w14:paraId="2025046D" w14:textId="77777777" w:rsidR="000A2190" w:rsidRPr="00141F3A" w:rsidRDefault="000A2190" w:rsidP="00A849DA">
      <w:pPr>
        <w:spacing w:after="0" w:line="240" w:lineRule="auto"/>
        <w:rPr>
          <w:rFonts w:ascii="Century" w:hAnsi="Century" w:cstheme="minorHAnsi"/>
          <w:sz w:val="24"/>
          <w:szCs w:val="24"/>
        </w:rPr>
      </w:pPr>
      <w:r w:rsidRPr="00141F3A">
        <w:rPr>
          <w:rFonts w:ascii="Century" w:hAnsi="Century" w:cstheme="minorHAnsi"/>
          <w:sz w:val="24"/>
          <w:szCs w:val="24"/>
        </w:rPr>
        <w:t>The feminization of society represents a profound shift in human history, reshaping how we</w:t>
      </w:r>
      <w:r w:rsidR="00A849DA" w:rsidRPr="00141F3A">
        <w:rPr>
          <w:rFonts w:ascii="Century" w:hAnsi="Century" w:cstheme="minorHAnsi"/>
          <w:sz w:val="24"/>
          <w:szCs w:val="24"/>
        </w:rPr>
        <w:t xml:space="preserve"> </w:t>
      </w:r>
      <w:r w:rsidRPr="00141F3A">
        <w:rPr>
          <w:rFonts w:ascii="Century" w:hAnsi="Century" w:cstheme="minorHAnsi"/>
          <w:sz w:val="24"/>
          <w:szCs w:val="24"/>
        </w:rPr>
        <w:t>live, work, and relate to one another. It is a story of progress and transformation, but also</w:t>
      </w:r>
      <w:r w:rsidR="00A849DA" w:rsidRPr="00141F3A">
        <w:rPr>
          <w:rFonts w:ascii="Century" w:hAnsi="Century" w:cstheme="minorHAnsi"/>
          <w:sz w:val="24"/>
          <w:szCs w:val="24"/>
        </w:rPr>
        <w:t xml:space="preserve"> </w:t>
      </w:r>
      <w:r w:rsidRPr="00141F3A">
        <w:rPr>
          <w:rFonts w:ascii="Century" w:hAnsi="Century" w:cstheme="minorHAnsi"/>
          <w:sz w:val="24"/>
          <w:szCs w:val="24"/>
        </w:rPr>
        <w:t xml:space="preserve">one of growing pains and resistance. The journey toward greater equity and inclusivity is </w:t>
      </w:r>
      <w:r w:rsidR="00A849DA" w:rsidRPr="00141F3A">
        <w:rPr>
          <w:rFonts w:ascii="Century" w:hAnsi="Century" w:cstheme="minorHAnsi"/>
          <w:sz w:val="24"/>
          <w:szCs w:val="24"/>
        </w:rPr>
        <w:t>n</w:t>
      </w:r>
      <w:r w:rsidRPr="00141F3A">
        <w:rPr>
          <w:rFonts w:ascii="Century" w:hAnsi="Century" w:cstheme="minorHAnsi"/>
          <w:sz w:val="24"/>
          <w:szCs w:val="24"/>
        </w:rPr>
        <w:t>ot a linear path; it is fraught with complexities, contradictions, and deeply ingrained biases.</w:t>
      </w:r>
    </w:p>
    <w:p w14:paraId="47279EB7" w14:textId="77777777" w:rsidR="000A2190" w:rsidRPr="00141F3A" w:rsidRDefault="000A2190" w:rsidP="00A849DA">
      <w:pPr>
        <w:spacing w:after="0" w:line="240" w:lineRule="auto"/>
        <w:rPr>
          <w:rFonts w:ascii="Century" w:hAnsi="Century" w:cstheme="minorHAnsi"/>
          <w:sz w:val="24"/>
          <w:szCs w:val="24"/>
        </w:rPr>
      </w:pPr>
    </w:p>
    <w:p w14:paraId="5600B981" w14:textId="77777777" w:rsidR="000A2190" w:rsidRPr="00141F3A" w:rsidRDefault="000A2190" w:rsidP="00A849DA">
      <w:pPr>
        <w:spacing w:after="0" w:line="240" w:lineRule="auto"/>
        <w:rPr>
          <w:rFonts w:ascii="Century" w:hAnsi="Century" w:cstheme="minorHAnsi"/>
          <w:sz w:val="24"/>
          <w:szCs w:val="24"/>
        </w:rPr>
      </w:pPr>
      <w:r w:rsidRPr="00141F3A">
        <w:rPr>
          <w:rFonts w:ascii="Century" w:hAnsi="Century" w:cstheme="minorHAnsi"/>
          <w:sz w:val="24"/>
          <w:szCs w:val="24"/>
        </w:rPr>
        <w:t>Throughout this book, we have explored how feminization is altering every aspect of life—from education and the workforce to media, family structures, and public policy. We have seen how countries like Canada have embraced these changes through progressive policies, while the United States grapples with cultural polarization and systemic challenges. These contrasts underscore the importance of context and nuance in addressing societal shifts.</w:t>
      </w:r>
    </w:p>
    <w:p w14:paraId="74D980B2" w14:textId="77777777" w:rsidR="000A2190" w:rsidRPr="00141F3A" w:rsidRDefault="000A2190" w:rsidP="00A849DA">
      <w:pPr>
        <w:spacing w:after="0" w:line="240" w:lineRule="auto"/>
        <w:rPr>
          <w:rFonts w:ascii="Century" w:hAnsi="Century" w:cstheme="minorHAnsi"/>
          <w:sz w:val="24"/>
          <w:szCs w:val="24"/>
        </w:rPr>
      </w:pPr>
    </w:p>
    <w:p w14:paraId="572B3003" w14:textId="77777777" w:rsidR="000A2190" w:rsidRPr="00141F3A" w:rsidRDefault="000A2190" w:rsidP="00A849DA">
      <w:pPr>
        <w:spacing w:after="0" w:line="240" w:lineRule="auto"/>
        <w:rPr>
          <w:rFonts w:ascii="Century" w:hAnsi="Century" w:cstheme="minorHAnsi"/>
          <w:sz w:val="24"/>
          <w:szCs w:val="24"/>
        </w:rPr>
      </w:pPr>
      <w:r w:rsidRPr="00141F3A">
        <w:rPr>
          <w:rFonts w:ascii="Century" w:hAnsi="Century" w:cstheme="minorHAnsi"/>
          <w:sz w:val="24"/>
          <w:szCs w:val="24"/>
        </w:rPr>
        <w:t>The feminization of society is not about replacing one set of values with another; it is about integrating the best of both. Empathy, collaboration, and inclusivity are not inherently feminine; they are human values that can enrich everyone’s lives. Similarly, traits traditionally associated with masculinity, such as strength, resilience, and independence, remain vital. The challenge lies in breaking down the rigid binaries that have defined gender roles for centuries and embracing a more holistic view of human potential.</w:t>
      </w:r>
    </w:p>
    <w:p w14:paraId="2EDDCCF7" w14:textId="77777777" w:rsidR="000A2190" w:rsidRPr="00141F3A" w:rsidRDefault="000A2190" w:rsidP="00A849DA">
      <w:pPr>
        <w:spacing w:after="0" w:line="240" w:lineRule="auto"/>
        <w:rPr>
          <w:rFonts w:ascii="Century" w:hAnsi="Century" w:cstheme="minorHAnsi"/>
          <w:sz w:val="24"/>
          <w:szCs w:val="24"/>
        </w:rPr>
      </w:pPr>
    </w:p>
    <w:p w14:paraId="0E0CEC76" w14:textId="77777777" w:rsidR="000A2190" w:rsidRPr="00141F3A" w:rsidRDefault="000A2190" w:rsidP="00A849DA">
      <w:pPr>
        <w:spacing w:after="0" w:line="240" w:lineRule="auto"/>
        <w:rPr>
          <w:rFonts w:ascii="Century" w:hAnsi="Century" w:cstheme="minorHAnsi"/>
          <w:sz w:val="24"/>
          <w:szCs w:val="24"/>
        </w:rPr>
      </w:pPr>
      <w:r w:rsidRPr="00141F3A">
        <w:rPr>
          <w:rFonts w:ascii="Century" w:hAnsi="Century" w:cstheme="minorHAnsi"/>
          <w:sz w:val="24"/>
          <w:szCs w:val="24"/>
        </w:rPr>
        <w:t>As we move forward, the goal should not be dominance by one gender or set of values but balance and harmony. Policymakers, educators, business leaders, and individuals all have a role to play in creating systems and cultures that are equitable and inclusive. By addressing disparities, challenging stereotypes, and fostering open dialogue, we can build a future where everyone has the opportunity to thrive.</w:t>
      </w:r>
    </w:p>
    <w:p w14:paraId="20D81E58" w14:textId="77777777" w:rsidR="000A2190" w:rsidRPr="00141F3A" w:rsidRDefault="000A2190" w:rsidP="00A849DA">
      <w:pPr>
        <w:spacing w:after="0" w:line="240" w:lineRule="auto"/>
        <w:rPr>
          <w:rFonts w:ascii="Century" w:hAnsi="Century" w:cstheme="minorHAnsi"/>
          <w:sz w:val="24"/>
          <w:szCs w:val="24"/>
        </w:rPr>
      </w:pPr>
    </w:p>
    <w:p w14:paraId="1E10E7A5" w14:textId="77777777" w:rsidR="000A2190" w:rsidRPr="00141F3A" w:rsidRDefault="000A2190" w:rsidP="00A849DA">
      <w:pPr>
        <w:spacing w:after="0" w:line="240" w:lineRule="auto"/>
        <w:rPr>
          <w:rFonts w:ascii="Century" w:hAnsi="Century" w:cstheme="minorHAnsi"/>
          <w:sz w:val="24"/>
          <w:szCs w:val="24"/>
        </w:rPr>
      </w:pPr>
      <w:r w:rsidRPr="00141F3A">
        <w:rPr>
          <w:rFonts w:ascii="Century" w:hAnsi="Century" w:cstheme="minorHAnsi"/>
          <w:sz w:val="24"/>
          <w:szCs w:val="24"/>
        </w:rPr>
        <w:t>The story of feminization is far from over. It is a dynamic, ongoing process that will continue to shape the world in ways we cannot yet imagine. By understanding its complexities and embracing its possibilities, we can navigate these changes with wisdom, compassion, and a shared commitment to progress.</w:t>
      </w:r>
    </w:p>
    <w:p w14:paraId="099357F9" w14:textId="77777777" w:rsidR="001836B5" w:rsidRPr="00141F3A" w:rsidRDefault="001836B5" w:rsidP="001836B5">
      <w:pPr>
        <w:spacing w:before="100" w:beforeAutospacing="1" w:after="100" w:afterAutospacing="1" w:line="240" w:lineRule="auto"/>
        <w:rPr>
          <w:rFonts w:ascii="Century" w:eastAsia="Times New Roman" w:hAnsi="Century" w:cs="Times New Roman"/>
          <w:sz w:val="24"/>
          <w:szCs w:val="24"/>
        </w:rPr>
      </w:pPr>
    </w:p>
    <w:p w14:paraId="74A29351" w14:textId="77777777" w:rsidR="001836B5" w:rsidRPr="00141F3A" w:rsidRDefault="001836B5">
      <w:pPr>
        <w:rPr>
          <w:rFonts w:ascii="Century" w:eastAsia="Times New Roman" w:hAnsi="Century" w:cs="Times New Roman"/>
          <w:sz w:val="24"/>
          <w:szCs w:val="24"/>
        </w:rPr>
      </w:pPr>
      <w:r w:rsidRPr="00141F3A">
        <w:rPr>
          <w:rFonts w:ascii="Century" w:eastAsia="Times New Roman" w:hAnsi="Century" w:cs="Times New Roman"/>
          <w:sz w:val="24"/>
          <w:szCs w:val="24"/>
        </w:rPr>
        <w:br w:type="page"/>
      </w:r>
    </w:p>
    <w:p w14:paraId="1BFA7C8B" w14:textId="77777777" w:rsidR="001836B5" w:rsidRPr="00141F3A" w:rsidRDefault="001836B5" w:rsidP="00A2031E">
      <w:pPr>
        <w:spacing w:before="100" w:beforeAutospacing="1" w:after="100" w:afterAutospacing="1" w:line="240" w:lineRule="auto"/>
        <w:jc w:val="center"/>
        <w:rPr>
          <w:rFonts w:ascii="Century" w:eastAsia="Times New Roman" w:hAnsi="Century" w:cs="Times New Roman"/>
          <w:i/>
          <w:sz w:val="32"/>
          <w:szCs w:val="32"/>
        </w:rPr>
      </w:pPr>
      <w:r w:rsidRPr="00141F3A">
        <w:rPr>
          <w:rFonts w:ascii="Century" w:eastAsia="Times New Roman" w:hAnsi="Century" w:cs="Times New Roman"/>
          <w:i/>
          <w:sz w:val="32"/>
          <w:szCs w:val="32"/>
        </w:rPr>
        <w:lastRenderedPageBreak/>
        <w:t>Bibliography</w:t>
      </w:r>
    </w:p>
    <w:p w14:paraId="7388AC8C" w14:textId="77777777" w:rsidR="001836B5" w:rsidRPr="00141F3A" w:rsidRDefault="001836B5" w:rsidP="000A2190">
      <w:pPr>
        <w:pStyle w:val="NormalWeb"/>
        <w:numPr>
          <w:ilvl w:val="0"/>
          <w:numId w:val="10"/>
        </w:numPr>
        <w:tabs>
          <w:tab w:val="clear" w:pos="720"/>
          <w:tab w:val="num" w:pos="-1440"/>
        </w:tabs>
        <w:ind w:left="360"/>
        <w:rPr>
          <w:rFonts w:ascii="Century" w:hAnsi="Century"/>
        </w:rPr>
      </w:pPr>
      <w:r w:rsidRPr="00141F3A">
        <w:rPr>
          <w:rFonts w:ascii="Century" w:hAnsi="Century"/>
        </w:rPr>
        <w:t xml:space="preserve">Addis, M. E. &amp; Mahalik, J. R. (2003). Men, masculinity, and the contexts of </w:t>
      </w:r>
      <w:proofErr w:type="gramStart"/>
      <w:r w:rsidRPr="00141F3A">
        <w:rPr>
          <w:rFonts w:ascii="Century" w:hAnsi="Century"/>
        </w:rPr>
        <w:t>help</w:t>
      </w:r>
      <w:r w:rsidR="000A2190" w:rsidRPr="00141F3A">
        <w:rPr>
          <w:rFonts w:ascii="Century" w:hAnsi="Century"/>
        </w:rPr>
        <w:t xml:space="preserve">  </w:t>
      </w:r>
      <w:r w:rsidRPr="00141F3A">
        <w:rPr>
          <w:rFonts w:ascii="Century" w:hAnsi="Century"/>
        </w:rPr>
        <w:t>seeking</w:t>
      </w:r>
      <w:proofErr w:type="gramEnd"/>
      <w:r w:rsidRPr="00141F3A">
        <w:rPr>
          <w:rFonts w:ascii="Century" w:hAnsi="Century"/>
        </w:rPr>
        <w:t xml:space="preserve">. </w:t>
      </w:r>
      <w:r w:rsidRPr="00141F3A">
        <w:rPr>
          <w:rStyle w:val="Emphasis"/>
          <w:rFonts w:ascii="Century" w:hAnsi="Century"/>
        </w:rPr>
        <w:t>American Psychologist</w:t>
      </w:r>
      <w:r w:rsidRPr="00141F3A">
        <w:rPr>
          <w:rFonts w:ascii="Century" w:hAnsi="Century"/>
        </w:rPr>
        <w:t>, 58(1), 5-14.</w:t>
      </w:r>
    </w:p>
    <w:p w14:paraId="5D505EB5" w14:textId="77777777" w:rsidR="001836B5" w:rsidRPr="00141F3A" w:rsidRDefault="001836B5" w:rsidP="000A2190">
      <w:pPr>
        <w:pStyle w:val="NormalWeb"/>
        <w:numPr>
          <w:ilvl w:val="0"/>
          <w:numId w:val="10"/>
        </w:numPr>
        <w:tabs>
          <w:tab w:val="clear" w:pos="720"/>
          <w:tab w:val="num" w:pos="-1080"/>
        </w:tabs>
        <w:ind w:left="360"/>
        <w:rPr>
          <w:rFonts w:ascii="Century" w:hAnsi="Century"/>
        </w:rPr>
      </w:pPr>
      <w:r w:rsidRPr="00141F3A">
        <w:rPr>
          <w:rFonts w:ascii="Century" w:hAnsi="Century"/>
        </w:rPr>
        <w:t xml:space="preserve">Adorno, T. W. (1972). </w:t>
      </w:r>
      <w:r w:rsidRPr="00141F3A">
        <w:rPr>
          <w:rStyle w:val="Emphasis"/>
          <w:rFonts w:ascii="Century" w:hAnsi="Century"/>
        </w:rPr>
        <w:t>The Culture Industry: Enlightenment as Mass Deception</w:t>
      </w:r>
      <w:r w:rsidRPr="00141F3A">
        <w:rPr>
          <w:rFonts w:ascii="Century" w:hAnsi="Century"/>
        </w:rPr>
        <w:t>. Stanford University Press.</w:t>
      </w:r>
    </w:p>
    <w:p w14:paraId="6F4E3CAA" w14:textId="77777777" w:rsidR="001836B5" w:rsidRPr="00141F3A" w:rsidRDefault="001836B5" w:rsidP="000A2190">
      <w:pPr>
        <w:pStyle w:val="NormalWeb"/>
        <w:numPr>
          <w:ilvl w:val="0"/>
          <w:numId w:val="10"/>
        </w:numPr>
        <w:tabs>
          <w:tab w:val="clear" w:pos="720"/>
          <w:tab w:val="num" w:pos="-720"/>
        </w:tabs>
        <w:ind w:left="360"/>
        <w:rPr>
          <w:rFonts w:ascii="Century" w:hAnsi="Century"/>
        </w:rPr>
      </w:pPr>
      <w:r w:rsidRPr="00141F3A">
        <w:rPr>
          <w:rFonts w:ascii="Century" w:hAnsi="Century"/>
        </w:rPr>
        <w:t xml:space="preserve">American Bar Association. (2018). </w:t>
      </w:r>
      <w:r w:rsidRPr="00141F3A">
        <w:rPr>
          <w:rStyle w:val="Emphasis"/>
          <w:rFonts w:ascii="Century" w:hAnsi="Century"/>
        </w:rPr>
        <w:t>Modern Family Law: Cases and Materials</w:t>
      </w:r>
      <w:r w:rsidRPr="00141F3A">
        <w:rPr>
          <w:rFonts w:ascii="Century" w:hAnsi="Century"/>
        </w:rPr>
        <w:t>. Wolters Kluwer.</w:t>
      </w:r>
    </w:p>
    <w:p w14:paraId="277A29B7" w14:textId="77777777" w:rsidR="001836B5" w:rsidRPr="00141F3A" w:rsidRDefault="001836B5" w:rsidP="000A2190">
      <w:pPr>
        <w:pStyle w:val="NormalWeb"/>
        <w:numPr>
          <w:ilvl w:val="0"/>
          <w:numId w:val="10"/>
        </w:numPr>
        <w:tabs>
          <w:tab w:val="clear" w:pos="720"/>
          <w:tab w:val="num" w:pos="-360"/>
        </w:tabs>
        <w:ind w:left="360"/>
        <w:rPr>
          <w:rFonts w:ascii="Century" w:hAnsi="Century"/>
        </w:rPr>
      </w:pPr>
      <w:r w:rsidRPr="00141F3A">
        <w:rPr>
          <w:rFonts w:ascii="Century" w:hAnsi="Century"/>
        </w:rPr>
        <w:t xml:space="preserve">Autor, D. H. (2014). Skills, education, and the rise of earnings inequality among the "other 99 percent". </w:t>
      </w:r>
      <w:r w:rsidRPr="00141F3A">
        <w:rPr>
          <w:rStyle w:val="Emphasis"/>
          <w:rFonts w:ascii="Century" w:hAnsi="Century"/>
        </w:rPr>
        <w:t>Science</w:t>
      </w:r>
      <w:r w:rsidRPr="00141F3A">
        <w:rPr>
          <w:rFonts w:ascii="Century" w:hAnsi="Century"/>
        </w:rPr>
        <w:t>, 344(6186), 843-851.</w:t>
      </w:r>
    </w:p>
    <w:p w14:paraId="149F10F3" w14:textId="77777777" w:rsidR="001836B5" w:rsidRPr="00141F3A" w:rsidRDefault="001836B5" w:rsidP="000A2190">
      <w:pPr>
        <w:pStyle w:val="NormalWeb"/>
        <w:numPr>
          <w:ilvl w:val="0"/>
          <w:numId w:val="10"/>
        </w:numPr>
        <w:tabs>
          <w:tab w:val="clear" w:pos="720"/>
          <w:tab w:val="num" w:pos="0"/>
        </w:tabs>
        <w:ind w:left="360"/>
        <w:rPr>
          <w:rFonts w:ascii="Century" w:hAnsi="Century"/>
        </w:rPr>
      </w:pPr>
      <w:r w:rsidRPr="00141F3A">
        <w:rPr>
          <w:rFonts w:ascii="Century" w:hAnsi="Century"/>
        </w:rPr>
        <w:t>Autor, D.</w:t>
      </w:r>
      <w:r w:rsidR="00141F3A" w:rsidRPr="00141F3A">
        <w:rPr>
          <w:rFonts w:ascii="Century" w:hAnsi="Century"/>
        </w:rPr>
        <w:t xml:space="preserve"> &amp;</w:t>
      </w:r>
      <w:r w:rsidRPr="00141F3A">
        <w:rPr>
          <w:rFonts w:ascii="Century" w:hAnsi="Century"/>
        </w:rPr>
        <w:t xml:space="preserve"> Dorn, D. (2013). The growth of low-skill service jobs and the polarization of the US labor market. </w:t>
      </w:r>
      <w:r w:rsidRPr="00141F3A">
        <w:rPr>
          <w:rStyle w:val="Emphasis"/>
          <w:rFonts w:ascii="Century" w:hAnsi="Century"/>
        </w:rPr>
        <w:t>American Economic Review</w:t>
      </w:r>
      <w:r w:rsidRPr="00141F3A">
        <w:rPr>
          <w:rFonts w:ascii="Century" w:hAnsi="Century"/>
        </w:rPr>
        <w:t>, 103(5), 1553-1597.</w:t>
      </w:r>
    </w:p>
    <w:p w14:paraId="3559E7FC" w14:textId="77777777" w:rsidR="001836B5" w:rsidRPr="00141F3A" w:rsidRDefault="001836B5" w:rsidP="000A2190">
      <w:pPr>
        <w:pStyle w:val="NormalWeb"/>
        <w:numPr>
          <w:ilvl w:val="0"/>
          <w:numId w:val="10"/>
        </w:numPr>
        <w:tabs>
          <w:tab w:val="clear" w:pos="720"/>
          <w:tab w:val="num" w:pos="360"/>
        </w:tabs>
        <w:ind w:left="360"/>
        <w:rPr>
          <w:rFonts w:ascii="Century" w:hAnsi="Century"/>
        </w:rPr>
      </w:pPr>
      <w:r w:rsidRPr="00141F3A">
        <w:rPr>
          <w:rFonts w:ascii="Century" w:hAnsi="Century"/>
        </w:rPr>
        <w:t xml:space="preserve">Bandura, A. (2001). Social cognitive theory: An agentic perspective. </w:t>
      </w:r>
      <w:r w:rsidRPr="00141F3A">
        <w:rPr>
          <w:rStyle w:val="Emphasis"/>
          <w:rFonts w:ascii="Century" w:hAnsi="Century"/>
        </w:rPr>
        <w:t>Annual Review of Psychology</w:t>
      </w:r>
      <w:r w:rsidRPr="00141F3A">
        <w:rPr>
          <w:rFonts w:ascii="Century" w:hAnsi="Century"/>
        </w:rPr>
        <w:t>, 52, 1-26.</w:t>
      </w:r>
    </w:p>
    <w:p w14:paraId="552580BE"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Barrett-Connor, E. (1997). Sex differences in coronary heart disease. Why are women so superior? The 1995 Ancel Keys Lecture. </w:t>
      </w:r>
      <w:r w:rsidRPr="00141F3A">
        <w:rPr>
          <w:rStyle w:val="Emphasis"/>
          <w:rFonts w:ascii="Century" w:hAnsi="Century"/>
        </w:rPr>
        <w:t>Circulation</w:t>
      </w:r>
      <w:r w:rsidRPr="00141F3A">
        <w:rPr>
          <w:rFonts w:ascii="Century" w:hAnsi="Century"/>
        </w:rPr>
        <w:t>, 95(1), 252-264.</w:t>
      </w:r>
    </w:p>
    <w:p w14:paraId="1AC8DCD5"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Becker, G. S. (1981). A Treatise on the Family. Harvard University Press.</w:t>
      </w:r>
    </w:p>
    <w:p w14:paraId="26CC88C2"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Bly, R. (1990). </w:t>
      </w:r>
      <w:r w:rsidRPr="00141F3A">
        <w:rPr>
          <w:rStyle w:val="Emphasis"/>
          <w:rFonts w:ascii="Century" w:hAnsi="Century"/>
        </w:rPr>
        <w:t>Iron John: A Book About Men</w:t>
      </w:r>
      <w:r w:rsidRPr="00141F3A">
        <w:rPr>
          <w:rFonts w:ascii="Century" w:hAnsi="Century"/>
        </w:rPr>
        <w:t>. Addison-Wesley.</w:t>
      </w:r>
    </w:p>
    <w:p w14:paraId="0FA748DB"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Boushey, H. (2016). </w:t>
      </w:r>
      <w:r w:rsidRPr="00141F3A">
        <w:rPr>
          <w:rStyle w:val="Emphasis"/>
          <w:rFonts w:ascii="Century" w:hAnsi="Century"/>
        </w:rPr>
        <w:t>Finding Time: The Economics of Work-Life Conflict</w:t>
      </w:r>
      <w:r w:rsidRPr="00141F3A">
        <w:rPr>
          <w:rFonts w:ascii="Century" w:hAnsi="Century"/>
        </w:rPr>
        <w:t>. Harvard University Press.</w:t>
      </w:r>
    </w:p>
    <w:p w14:paraId="1FA2ACE3"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Butler, J. (1990). </w:t>
      </w:r>
      <w:r w:rsidRPr="00141F3A">
        <w:rPr>
          <w:rStyle w:val="Emphasis"/>
          <w:rFonts w:ascii="Century" w:hAnsi="Century"/>
        </w:rPr>
        <w:t>Gender Trouble: Feminism and the Subversion of Identity</w:t>
      </w:r>
      <w:r w:rsidRPr="00141F3A">
        <w:rPr>
          <w:rFonts w:ascii="Century" w:hAnsi="Century"/>
        </w:rPr>
        <w:t>. Routledge.</w:t>
      </w:r>
    </w:p>
    <w:p w14:paraId="3ECF4433"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Carter, D. (2004). </w:t>
      </w:r>
      <w:r w:rsidRPr="00141F3A">
        <w:rPr>
          <w:rStyle w:val="Emphasis"/>
          <w:rFonts w:ascii="Century" w:hAnsi="Century"/>
        </w:rPr>
        <w:t>Stonewall: The Riots That Sparked the Gay Revolution</w:t>
      </w:r>
      <w:r w:rsidRPr="00141F3A">
        <w:rPr>
          <w:rFonts w:ascii="Century" w:hAnsi="Century"/>
        </w:rPr>
        <w:t>. St. Martin's Press.</w:t>
      </w:r>
    </w:p>
    <w:p w14:paraId="30783A29"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CDC. (2021). </w:t>
      </w:r>
      <w:r w:rsidRPr="00141F3A">
        <w:rPr>
          <w:rStyle w:val="Emphasis"/>
          <w:rFonts w:ascii="Century" w:hAnsi="Century"/>
        </w:rPr>
        <w:t>Web-based Injury Statistics Query and Reporting System (WISQARS)</w:t>
      </w:r>
      <w:r w:rsidRPr="00141F3A">
        <w:rPr>
          <w:rFonts w:ascii="Century" w:hAnsi="Century"/>
        </w:rPr>
        <w:t>. National Center for Injury Prevention and Control, Centers for Disease Control and Prevention.</w:t>
      </w:r>
    </w:p>
    <w:p w14:paraId="0F5C0460"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Connell, R. W. (2005). Masculinities. University of California Press.</w:t>
      </w:r>
    </w:p>
    <w:p w14:paraId="5820834E"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Connell, R. W. (2005). </w:t>
      </w:r>
      <w:r w:rsidRPr="00141F3A">
        <w:rPr>
          <w:rStyle w:val="Emphasis"/>
          <w:rFonts w:ascii="Century" w:hAnsi="Century"/>
        </w:rPr>
        <w:t>Masculinities</w:t>
      </w:r>
      <w:r w:rsidRPr="00141F3A">
        <w:rPr>
          <w:rFonts w:ascii="Century" w:hAnsi="Century"/>
        </w:rPr>
        <w:t xml:space="preserve"> (2nd ed.). Polity.</w:t>
      </w:r>
    </w:p>
    <w:p w14:paraId="725A3C85"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Cortright, J. (2019). The rise of the urban creative class. </w:t>
      </w:r>
      <w:r w:rsidRPr="00141F3A">
        <w:rPr>
          <w:rStyle w:val="Emphasis"/>
          <w:rFonts w:ascii="Century" w:hAnsi="Century"/>
        </w:rPr>
        <w:t>Cityscape</w:t>
      </w:r>
      <w:r w:rsidRPr="00141F3A">
        <w:rPr>
          <w:rFonts w:ascii="Century" w:hAnsi="Century"/>
        </w:rPr>
        <w:t>, 21(2), 33-50.</w:t>
      </w:r>
    </w:p>
    <w:p w14:paraId="0AD0BDD2"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Deloitte. (2022). </w:t>
      </w:r>
      <w:r w:rsidRPr="00141F3A">
        <w:rPr>
          <w:rStyle w:val="Emphasis"/>
          <w:rFonts w:ascii="Century" w:hAnsi="Century"/>
        </w:rPr>
        <w:t>Global Human Capital Trends</w:t>
      </w:r>
      <w:r w:rsidRPr="00141F3A">
        <w:rPr>
          <w:rFonts w:ascii="Century" w:hAnsi="Century"/>
        </w:rPr>
        <w:t>. Deloitte Insights.</w:t>
      </w:r>
    </w:p>
    <w:p w14:paraId="050ECC60"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Esping-Andersen, G. (1999). </w:t>
      </w:r>
      <w:r w:rsidRPr="00141F3A">
        <w:rPr>
          <w:rStyle w:val="Emphasis"/>
          <w:rFonts w:ascii="Century" w:hAnsi="Century"/>
        </w:rPr>
        <w:t>Social Foundations of Postindustrial Economies</w:t>
      </w:r>
      <w:r w:rsidRPr="00141F3A">
        <w:rPr>
          <w:rFonts w:ascii="Century" w:hAnsi="Century"/>
        </w:rPr>
        <w:t>. Oxford University Press.</w:t>
      </w:r>
    </w:p>
    <w:p w14:paraId="23C3435D"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Friedan, B. (1963). </w:t>
      </w:r>
      <w:r w:rsidRPr="00141F3A">
        <w:rPr>
          <w:rStyle w:val="Emphasis"/>
          <w:rFonts w:ascii="Century" w:hAnsi="Century"/>
        </w:rPr>
        <w:t>The Feminine Mystique</w:t>
      </w:r>
      <w:r w:rsidRPr="00141F3A">
        <w:rPr>
          <w:rFonts w:ascii="Century" w:hAnsi="Century"/>
        </w:rPr>
        <w:t>. W. W. Norton &amp; Company.</w:t>
      </w:r>
    </w:p>
    <w:p w14:paraId="14FBFB03"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Giddens, A. (1992). </w:t>
      </w:r>
      <w:r w:rsidRPr="00141F3A">
        <w:rPr>
          <w:rStyle w:val="Emphasis"/>
          <w:rFonts w:ascii="Century" w:hAnsi="Century"/>
        </w:rPr>
        <w:t>The Transformation of Intimacy: Sexuality, Love, and Eroticism in Modern Societies</w:t>
      </w:r>
      <w:r w:rsidRPr="00141F3A">
        <w:rPr>
          <w:rFonts w:ascii="Century" w:hAnsi="Century"/>
        </w:rPr>
        <w:t>. Stanford University Press.</w:t>
      </w:r>
    </w:p>
    <w:p w14:paraId="21D96CB8"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Goldin, C.</w:t>
      </w:r>
      <w:r w:rsidR="00141F3A" w:rsidRPr="00141F3A">
        <w:rPr>
          <w:rFonts w:ascii="Century" w:hAnsi="Century"/>
        </w:rPr>
        <w:t xml:space="preserve"> &amp;</w:t>
      </w:r>
      <w:r w:rsidRPr="00141F3A">
        <w:rPr>
          <w:rFonts w:ascii="Century" w:hAnsi="Century"/>
        </w:rPr>
        <w:t xml:space="preserve"> Katz, L. F. (2002). The power of the pill: Oral contraceptives and women's career and marriage decisions. </w:t>
      </w:r>
      <w:r w:rsidRPr="00141F3A">
        <w:rPr>
          <w:rStyle w:val="Emphasis"/>
          <w:rFonts w:ascii="Century" w:hAnsi="Century"/>
        </w:rPr>
        <w:t>Journal of Political Economy</w:t>
      </w:r>
      <w:r w:rsidRPr="00141F3A">
        <w:rPr>
          <w:rFonts w:ascii="Century" w:hAnsi="Century"/>
        </w:rPr>
        <w:t>, 110(4), 730-770.</w:t>
      </w:r>
    </w:p>
    <w:p w14:paraId="2D2CA563"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Hochschild, A. R. (1989). </w:t>
      </w:r>
      <w:r w:rsidRPr="00141F3A">
        <w:rPr>
          <w:rStyle w:val="Emphasis"/>
          <w:rFonts w:ascii="Century" w:hAnsi="Century"/>
        </w:rPr>
        <w:t>The Second Shift: Working Families and the Revolution at Home</w:t>
      </w:r>
      <w:r w:rsidRPr="00141F3A">
        <w:rPr>
          <w:rFonts w:ascii="Century" w:hAnsi="Century"/>
        </w:rPr>
        <w:t>. Viking Penguin.</w:t>
      </w:r>
    </w:p>
    <w:p w14:paraId="24D198F0"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lastRenderedPageBreak/>
        <w:t xml:space="preserve">Hoge, C. W. (2004). Combat duty in Iraq and Afghanistan, mental health problems, and barriers to care. </w:t>
      </w:r>
      <w:r w:rsidRPr="00141F3A">
        <w:rPr>
          <w:rStyle w:val="Emphasis"/>
          <w:rFonts w:ascii="Century" w:hAnsi="Century"/>
        </w:rPr>
        <w:t>The New England Journal of Medicine</w:t>
      </w:r>
      <w:r w:rsidRPr="00141F3A">
        <w:rPr>
          <w:rFonts w:ascii="Century" w:hAnsi="Century"/>
        </w:rPr>
        <w:t>, 351(1), 13-22.</w:t>
      </w:r>
    </w:p>
    <w:p w14:paraId="17E4FE17"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Inter-Parliamentary Union. (2021). </w:t>
      </w:r>
      <w:r w:rsidRPr="00141F3A">
        <w:rPr>
          <w:rStyle w:val="Emphasis"/>
          <w:rFonts w:ascii="Century" w:hAnsi="Century"/>
        </w:rPr>
        <w:t>Women in national parliaments</w:t>
      </w:r>
      <w:r w:rsidRPr="00141F3A">
        <w:rPr>
          <w:rFonts w:ascii="Century" w:hAnsi="Century"/>
        </w:rPr>
        <w:t>.</w:t>
      </w:r>
    </w:p>
    <w:p w14:paraId="46F47619"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Johnson, D. (2017). </w:t>
      </w:r>
      <w:r w:rsidRPr="00141F3A">
        <w:rPr>
          <w:rStyle w:val="Emphasis"/>
          <w:rFonts w:ascii="Century" w:hAnsi="Century"/>
        </w:rPr>
        <w:t>Moonlight</w:t>
      </w:r>
      <w:r w:rsidRPr="00141F3A">
        <w:rPr>
          <w:rFonts w:ascii="Century" w:hAnsi="Century"/>
        </w:rPr>
        <w:t xml:space="preserve"> and Masculinity: Media representations and the significance of a nuanced black male identity. </w:t>
      </w:r>
      <w:r w:rsidRPr="00141F3A">
        <w:rPr>
          <w:rStyle w:val="Emphasis"/>
          <w:rFonts w:ascii="Century" w:hAnsi="Century"/>
        </w:rPr>
        <w:t>African American Review</w:t>
      </w:r>
      <w:r w:rsidRPr="00141F3A">
        <w:rPr>
          <w:rFonts w:ascii="Century" w:hAnsi="Century"/>
        </w:rPr>
        <w:t>, 50(4), 345-359.</w:t>
      </w:r>
    </w:p>
    <w:p w14:paraId="2B636A56"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Kawachi, I.</w:t>
      </w:r>
      <w:r w:rsidR="00141F3A" w:rsidRPr="00141F3A">
        <w:rPr>
          <w:rFonts w:ascii="Century" w:hAnsi="Century"/>
        </w:rPr>
        <w:t xml:space="preserve"> &amp;</w:t>
      </w:r>
      <w:r w:rsidRPr="00141F3A">
        <w:rPr>
          <w:rFonts w:ascii="Century" w:hAnsi="Century"/>
        </w:rPr>
        <w:t xml:space="preserve"> Kennedy, B. P. (1997). Socioeconomic determinants of health: Health and social cohesion: why care about income inequality? </w:t>
      </w:r>
      <w:r w:rsidRPr="00141F3A">
        <w:rPr>
          <w:rStyle w:val="Emphasis"/>
          <w:rFonts w:ascii="Century" w:hAnsi="Century"/>
        </w:rPr>
        <w:t>BMJ</w:t>
      </w:r>
      <w:r w:rsidRPr="00141F3A">
        <w:rPr>
          <w:rFonts w:ascii="Century" w:hAnsi="Century"/>
        </w:rPr>
        <w:t>, 314(7086), 1037-1040.</w:t>
      </w:r>
    </w:p>
    <w:p w14:paraId="1FF32323"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Kimmel, M. (2018). </w:t>
      </w:r>
      <w:r w:rsidRPr="00141F3A">
        <w:rPr>
          <w:rStyle w:val="Emphasis"/>
          <w:rFonts w:ascii="Century" w:hAnsi="Century"/>
        </w:rPr>
        <w:t xml:space="preserve">Healing from Hate: How Young Men Get Into—and </w:t>
      </w:r>
      <w:proofErr w:type="gramStart"/>
      <w:r w:rsidRPr="00141F3A">
        <w:rPr>
          <w:rStyle w:val="Emphasis"/>
          <w:rFonts w:ascii="Century" w:hAnsi="Century"/>
        </w:rPr>
        <w:t>Out</w:t>
      </w:r>
      <w:proofErr w:type="gramEnd"/>
      <w:r w:rsidRPr="00141F3A">
        <w:rPr>
          <w:rStyle w:val="Emphasis"/>
          <w:rFonts w:ascii="Century" w:hAnsi="Century"/>
        </w:rPr>
        <w:t xml:space="preserve"> of—Violent Extremism</w:t>
      </w:r>
      <w:r w:rsidRPr="00141F3A">
        <w:rPr>
          <w:rFonts w:ascii="Century" w:hAnsi="Century"/>
        </w:rPr>
        <w:t>. University of California Press.</w:t>
      </w:r>
    </w:p>
    <w:p w14:paraId="4D97AA8A"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Krugman, P. (1995). Growing world trade: Causes and consequences. </w:t>
      </w:r>
      <w:r w:rsidRPr="00141F3A">
        <w:rPr>
          <w:rStyle w:val="Emphasis"/>
          <w:rFonts w:ascii="Century" w:hAnsi="Century"/>
        </w:rPr>
        <w:t>Brookings Papers on Economic Activity</w:t>
      </w:r>
      <w:r w:rsidRPr="00141F3A">
        <w:rPr>
          <w:rFonts w:ascii="Century" w:hAnsi="Century"/>
        </w:rPr>
        <w:t>, 1995(1), 327-377.</w:t>
      </w:r>
    </w:p>
    <w:p w14:paraId="4E764C25"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McKinsey Global Institute. (2015). </w:t>
      </w:r>
      <w:r w:rsidRPr="00141F3A">
        <w:rPr>
          <w:rStyle w:val="Emphasis"/>
          <w:rFonts w:ascii="Century" w:hAnsi="Century"/>
        </w:rPr>
        <w:t>The Power of Parity: How Advancing Women’s Equality Can Add $12 Trillion to Global Growth</w:t>
      </w:r>
      <w:r w:rsidRPr="00141F3A">
        <w:rPr>
          <w:rFonts w:ascii="Century" w:hAnsi="Century"/>
        </w:rPr>
        <w:t>. McKinsey &amp; Company.</w:t>
      </w:r>
    </w:p>
    <w:p w14:paraId="2B540361"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National Science Foundation. (2019). </w:t>
      </w:r>
      <w:r w:rsidRPr="00141F3A">
        <w:rPr>
          <w:rStyle w:val="Emphasis"/>
          <w:rFonts w:ascii="Century" w:hAnsi="Century"/>
        </w:rPr>
        <w:t>Women, Minorities, and Persons with Disabilities in Science and Engineering</w:t>
      </w:r>
      <w:r w:rsidRPr="00141F3A">
        <w:rPr>
          <w:rFonts w:ascii="Century" w:hAnsi="Century"/>
        </w:rPr>
        <w:t>.</w:t>
      </w:r>
    </w:p>
    <w:p w14:paraId="51127535"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Nielsen. (2019). </w:t>
      </w:r>
      <w:r w:rsidRPr="00141F3A">
        <w:rPr>
          <w:rStyle w:val="Emphasis"/>
          <w:rFonts w:ascii="Century" w:hAnsi="Century"/>
        </w:rPr>
        <w:t>Diverse Intelligence Series: African American Consumers</w:t>
      </w:r>
      <w:r w:rsidRPr="00141F3A">
        <w:rPr>
          <w:rFonts w:ascii="Century" w:hAnsi="Century"/>
        </w:rPr>
        <w:t>.</w:t>
      </w:r>
    </w:p>
    <w:p w14:paraId="4C274B58"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OECD. (2011). </w:t>
      </w:r>
      <w:r w:rsidRPr="00141F3A">
        <w:rPr>
          <w:rStyle w:val="Emphasis"/>
          <w:rFonts w:ascii="Century" w:hAnsi="Century"/>
        </w:rPr>
        <w:t>Doing Better for Families</w:t>
      </w:r>
      <w:r w:rsidRPr="00141F3A">
        <w:rPr>
          <w:rFonts w:ascii="Century" w:hAnsi="Century"/>
        </w:rPr>
        <w:t>.</w:t>
      </w:r>
    </w:p>
    <w:p w14:paraId="1A8247B0"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OECD. (2019). </w:t>
      </w:r>
      <w:r w:rsidRPr="00141F3A">
        <w:rPr>
          <w:rStyle w:val="Emphasis"/>
          <w:rFonts w:ascii="Century" w:hAnsi="Century"/>
        </w:rPr>
        <w:t>Social Institutions and Gender Index (SIGI)</w:t>
      </w:r>
      <w:r w:rsidRPr="00141F3A">
        <w:rPr>
          <w:rFonts w:ascii="Century" w:hAnsi="Century"/>
        </w:rPr>
        <w:t>.</w:t>
      </w:r>
    </w:p>
    <w:p w14:paraId="1304E0D0"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Padgett, D. (2008). </w:t>
      </w:r>
      <w:r w:rsidRPr="00141F3A">
        <w:rPr>
          <w:rStyle w:val="Emphasis"/>
          <w:rFonts w:ascii="Century" w:hAnsi="Century"/>
        </w:rPr>
        <w:t>Qualitative Methods in Social Work Research</w:t>
      </w:r>
      <w:r w:rsidRPr="00141F3A">
        <w:rPr>
          <w:rFonts w:ascii="Century" w:hAnsi="Century"/>
        </w:rPr>
        <w:t>. Sage Publications.</w:t>
      </w:r>
    </w:p>
    <w:p w14:paraId="3D31560B"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Pew Research Center. (2020). </w:t>
      </w:r>
      <w:r w:rsidRPr="00141F3A">
        <w:rPr>
          <w:rStyle w:val="Emphasis"/>
          <w:rFonts w:ascii="Century" w:hAnsi="Century"/>
        </w:rPr>
        <w:t>Social Trends in America and Strategic Approaches to the Negro Problem</w:t>
      </w:r>
      <w:r w:rsidRPr="00141F3A">
        <w:rPr>
          <w:rFonts w:ascii="Century" w:hAnsi="Century"/>
        </w:rPr>
        <w:t>.</w:t>
      </w:r>
    </w:p>
    <w:p w14:paraId="28BEAC9A"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Piketty, T. (2014). </w:t>
      </w:r>
      <w:r w:rsidRPr="00141F3A">
        <w:rPr>
          <w:rStyle w:val="Emphasis"/>
          <w:rFonts w:ascii="Century" w:hAnsi="Century"/>
        </w:rPr>
        <w:t>Capital in the Twenty-First Century</w:t>
      </w:r>
      <w:r w:rsidRPr="00141F3A">
        <w:rPr>
          <w:rFonts w:ascii="Century" w:hAnsi="Century"/>
        </w:rPr>
        <w:t>. Harvard University Press.</w:t>
      </w:r>
    </w:p>
    <w:p w14:paraId="35F06A29"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Platt, S., et al. (2013). Economic downturns and suicide: A global perspective. </w:t>
      </w:r>
      <w:r w:rsidRPr="00141F3A">
        <w:rPr>
          <w:rStyle w:val="Emphasis"/>
          <w:rFonts w:ascii="Century" w:hAnsi="Century"/>
        </w:rPr>
        <w:t>Social Science &amp; Medicine</w:t>
      </w:r>
      <w:r w:rsidRPr="00141F3A">
        <w:rPr>
          <w:rFonts w:ascii="Century" w:hAnsi="Century"/>
        </w:rPr>
        <w:t>, 74(2), 193-198.</w:t>
      </w:r>
    </w:p>
    <w:p w14:paraId="6325750B"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Reynolds, G. (2021). The pushback against woke culture: Understanding the dynamics of cultural resistance. </w:t>
      </w:r>
      <w:r w:rsidRPr="00141F3A">
        <w:rPr>
          <w:rStyle w:val="Emphasis"/>
          <w:rFonts w:ascii="Century" w:hAnsi="Century"/>
        </w:rPr>
        <w:t>Journal of Social Issues</w:t>
      </w:r>
      <w:r w:rsidRPr="00141F3A">
        <w:rPr>
          <w:rFonts w:ascii="Century" w:hAnsi="Century"/>
        </w:rPr>
        <w:t>, 77(1), 256-273.</w:t>
      </w:r>
    </w:p>
    <w:p w14:paraId="2F081225"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Sanchez, L. (2015). Gender, Policy, and Security: Do Women Matter in Armed Conflict? </w:t>
      </w:r>
      <w:r w:rsidRPr="00141F3A">
        <w:rPr>
          <w:rStyle w:val="Emphasis"/>
          <w:rFonts w:ascii="Century" w:hAnsi="Century"/>
        </w:rPr>
        <w:t>Harvard International Review</w:t>
      </w:r>
      <w:r w:rsidRPr="00141F3A">
        <w:rPr>
          <w:rFonts w:ascii="Century" w:hAnsi="Century"/>
        </w:rPr>
        <w:t>, 37(2), 40-45.</w:t>
      </w:r>
    </w:p>
    <w:p w14:paraId="63ACE58A"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Schwab, K. (2016). </w:t>
      </w:r>
      <w:r w:rsidRPr="00141F3A">
        <w:rPr>
          <w:rStyle w:val="Emphasis"/>
          <w:rFonts w:ascii="Century" w:hAnsi="Century"/>
        </w:rPr>
        <w:t>The Fourth Industrial Revolution</w:t>
      </w:r>
      <w:r w:rsidRPr="00141F3A">
        <w:rPr>
          <w:rFonts w:ascii="Century" w:hAnsi="Century"/>
        </w:rPr>
        <w:t>. World Economic Forum.</w:t>
      </w:r>
    </w:p>
    <w:p w14:paraId="7AEEBFA3"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Shinn, M. (2017). Homelessness, poverty, and social exclusion in the United States and Europe. </w:t>
      </w:r>
      <w:r w:rsidRPr="00141F3A">
        <w:rPr>
          <w:rStyle w:val="Emphasis"/>
          <w:rFonts w:ascii="Century" w:hAnsi="Century"/>
        </w:rPr>
        <w:t>European Journal of Homelessness</w:t>
      </w:r>
      <w:r w:rsidRPr="00141F3A">
        <w:rPr>
          <w:rFonts w:ascii="Century" w:hAnsi="Century"/>
        </w:rPr>
        <w:t>, 11(1), 23-43.</w:t>
      </w:r>
    </w:p>
    <w:p w14:paraId="343ACE9F"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Singer, P. W. (2009). </w:t>
      </w:r>
      <w:r w:rsidRPr="00141F3A">
        <w:rPr>
          <w:rStyle w:val="Emphasis"/>
          <w:rFonts w:ascii="Century" w:hAnsi="Century"/>
        </w:rPr>
        <w:t>Wired for War: The Robotics Revolution and Conflict in the 21st Century</w:t>
      </w:r>
      <w:r w:rsidRPr="00141F3A">
        <w:rPr>
          <w:rFonts w:ascii="Century" w:hAnsi="Century"/>
        </w:rPr>
        <w:t>. Penguin Books.</w:t>
      </w:r>
    </w:p>
    <w:p w14:paraId="4F156DB9"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Smith, J. (2021). Black Lives Matter and the resurgence of grassroots activism. </w:t>
      </w:r>
      <w:r w:rsidRPr="00141F3A">
        <w:rPr>
          <w:rStyle w:val="Emphasis"/>
          <w:rFonts w:ascii="Century" w:hAnsi="Century"/>
        </w:rPr>
        <w:t>Political Science Quarterly</w:t>
      </w:r>
      <w:r w:rsidRPr="00141F3A">
        <w:rPr>
          <w:rFonts w:ascii="Century" w:hAnsi="Century"/>
        </w:rPr>
        <w:t>, 136(1), 23-48.</w:t>
      </w:r>
    </w:p>
    <w:p w14:paraId="041F2262"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Steinberg, S. (2020). Media influence on societal perceptions of masculinity. </w:t>
      </w:r>
      <w:r w:rsidRPr="00141F3A">
        <w:rPr>
          <w:rStyle w:val="Emphasis"/>
          <w:rFonts w:ascii="Century" w:hAnsi="Century"/>
        </w:rPr>
        <w:t>Journal of Media Psychology</w:t>
      </w:r>
      <w:r w:rsidRPr="00141F3A">
        <w:rPr>
          <w:rFonts w:ascii="Century" w:hAnsi="Century"/>
        </w:rPr>
        <w:t>, 32(3), 150-164.</w:t>
      </w:r>
    </w:p>
    <w:p w14:paraId="3976CAB7"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Statistics Canada. (2020). </w:t>
      </w:r>
      <w:proofErr w:type="spellStart"/>
      <w:r w:rsidRPr="00141F3A">
        <w:rPr>
          <w:rStyle w:val="Emphasis"/>
          <w:rFonts w:ascii="Century" w:hAnsi="Century"/>
        </w:rPr>
        <w:t>Labour</w:t>
      </w:r>
      <w:proofErr w:type="spellEnd"/>
      <w:r w:rsidRPr="00141F3A">
        <w:rPr>
          <w:rStyle w:val="Emphasis"/>
          <w:rFonts w:ascii="Century" w:hAnsi="Century"/>
        </w:rPr>
        <w:t xml:space="preserve"> Force Survey</w:t>
      </w:r>
      <w:r w:rsidRPr="00141F3A">
        <w:rPr>
          <w:rFonts w:ascii="Century" w:hAnsi="Century"/>
        </w:rPr>
        <w:t>.</w:t>
      </w:r>
    </w:p>
    <w:p w14:paraId="1D4BA267"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lastRenderedPageBreak/>
        <w:t xml:space="preserve">Steinberg, S. (2020). Media influence on societal perceptions of masculinity. </w:t>
      </w:r>
      <w:r w:rsidRPr="00141F3A">
        <w:rPr>
          <w:rStyle w:val="Emphasis"/>
          <w:rFonts w:ascii="Century" w:hAnsi="Century"/>
        </w:rPr>
        <w:t>Journal of Media Psychology</w:t>
      </w:r>
      <w:r w:rsidRPr="00141F3A">
        <w:rPr>
          <w:rFonts w:ascii="Century" w:hAnsi="Century"/>
        </w:rPr>
        <w:t>, 32(3), 150-164.</w:t>
      </w:r>
    </w:p>
    <w:p w14:paraId="79A20DAD"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Toro, P. A. (2007). Toward an international understanding of homelessness. </w:t>
      </w:r>
      <w:r w:rsidRPr="00141F3A">
        <w:rPr>
          <w:rStyle w:val="Emphasis"/>
          <w:rFonts w:ascii="Century" w:hAnsi="Century"/>
        </w:rPr>
        <w:t>Journal of Social Issues</w:t>
      </w:r>
      <w:r w:rsidRPr="00141F3A">
        <w:rPr>
          <w:rFonts w:ascii="Century" w:hAnsi="Century"/>
        </w:rPr>
        <w:t>, 63(3), 461-481.</w:t>
      </w:r>
    </w:p>
    <w:p w14:paraId="58F391E5"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UNODC. (2019). </w:t>
      </w:r>
      <w:r w:rsidRPr="00141F3A">
        <w:rPr>
          <w:rStyle w:val="Emphasis"/>
          <w:rFonts w:ascii="Century" w:hAnsi="Century"/>
        </w:rPr>
        <w:t>Global Study on Homicide</w:t>
      </w:r>
      <w:r w:rsidRPr="00141F3A">
        <w:rPr>
          <w:rFonts w:ascii="Century" w:hAnsi="Century"/>
        </w:rPr>
        <w:t>.</w:t>
      </w:r>
    </w:p>
    <w:p w14:paraId="1330D556"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U.S. Bureau of Labor Statistics. (2020). </w:t>
      </w:r>
      <w:r w:rsidRPr="00141F3A">
        <w:rPr>
          <w:rStyle w:val="Emphasis"/>
          <w:rFonts w:ascii="Century" w:hAnsi="Century"/>
        </w:rPr>
        <w:t>Economic News Release: Labor Force Statistics from the Current Population Survey</w:t>
      </w:r>
      <w:r w:rsidRPr="00141F3A">
        <w:rPr>
          <w:rFonts w:ascii="Century" w:hAnsi="Century"/>
        </w:rPr>
        <w:t>.</w:t>
      </w:r>
    </w:p>
    <w:p w14:paraId="5375013C"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U.S. Department of Education. (2020). </w:t>
      </w:r>
      <w:r w:rsidRPr="00141F3A">
        <w:rPr>
          <w:rStyle w:val="Emphasis"/>
          <w:rFonts w:ascii="Century" w:hAnsi="Century"/>
        </w:rPr>
        <w:t>The Condition of Education 2020</w:t>
      </w:r>
      <w:r w:rsidRPr="00141F3A">
        <w:rPr>
          <w:rFonts w:ascii="Century" w:hAnsi="Century"/>
        </w:rPr>
        <w:t>.</w:t>
      </w:r>
    </w:p>
    <w:p w14:paraId="4ABD2F17"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U.S. Department of Housing and Urban Development. (2022). </w:t>
      </w:r>
      <w:r w:rsidRPr="00141F3A">
        <w:rPr>
          <w:rStyle w:val="Emphasis"/>
          <w:rFonts w:ascii="Century" w:hAnsi="Century"/>
        </w:rPr>
        <w:t>The 2020 Annual Homeless Assessment Report to Congress</w:t>
      </w:r>
      <w:r w:rsidRPr="00141F3A">
        <w:rPr>
          <w:rFonts w:ascii="Century" w:hAnsi="Century"/>
        </w:rPr>
        <w:t>.</w:t>
      </w:r>
    </w:p>
    <w:p w14:paraId="56C46C75"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Watkins, E. S. (1965). </w:t>
      </w:r>
      <w:r w:rsidRPr="00141F3A">
        <w:rPr>
          <w:rStyle w:val="Emphasis"/>
          <w:rFonts w:ascii="Century" w:hAnsi="Century"/>
        </w:rPr>
        <w:t>The Estrogen Elixir: A History of Hormone Replacement Therapy in America</w:t>
      </w:r>
      <w:r w:rsidRPr="00141F3A">
        <w:rPr>
          <w:rFonts w:ascii="Century" w:hAnsi="Century"/>
        </w:rPr>
        <w:t>. Johns Hopkins University Press.</w:t>
      </w:r>
    </w:p>
    <w:p w14:paraId="48819BF2"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World Bank. (2020). </w:t>
      </w:r>
      <w:r w:rsidRPr="00141F3A">
        <w:rPr>
          <w:rStyle w:val="Emphasis"/>
          <w:rFonts w:ascii="Century" w:hAnsi="Century"/>
        </w:rPr>
        <w:t>World Development Report 2020: Trading for Development in the Age of Global Value Chains</w:t>
      </w:r>
      <w:r w:rsidRPr="00141F3A">
        <w:rPr>
          <w:rFonts w:ascii="Century" w:hAnsi="Century"/>
        </w:rPr>
        <w:t>.</w:t>
      </w:r>
    </w:p>
    <w:p w14:paraId="2F486BC8" w14:textId="77777777" w:rsidR="001836B5" w:rsidRPr="00141F3A" w:rsidRDefault="001836B5" w:rsidP="000A2190">
      <w:pPr>
        <w:pStyle w:val="NormalWeb"/>
        <w:numPr>
          <w:ilvl w:val="0"/>
          <w:numId w:val="10"/>
        </w:numPr>
        <w:ind w:left="360"/>
        <w:rPr>
          <w:rFonts w:ascii="Century" w:hAnsi="Century"/>
        </w:rPr>
      </w:pPr>
      <w:r w:rsidRPr="00141F3A">
        <w:rPr>
          <w:rFonts w:ascii="Century" w:hAnsi="Century"/>
        </w:rPr>
        <w:t xml:space="preserve">World Health Organization. (2021). </w:t>
      </w:r>
      <w:r w:rsidRPr="00141F3A">
        <w:rPr>
          <w:rStyle w:val="Emphasis"/>
          <w:rFonts w:ascii="Century" w:hAnsi="Century"/>
        </w:rPr>
        <w:t>Global Health Estimates: Leading Causes of Death</w:t>
      </w:r>
      <w:r w:rsidRPr="00141F3A">
        <w:rPr>
          <w:rFonts w:ascii="Century" w:hAnsi="Century"/>
        </w:rPr>
        <w:t>.</w:t>
      </w:r>
    </w:p>
    <w:p w14:paraId="085B9B78" w14:textId="77777777" w:rsidR="000A2190" w:rsidRPr="00141F3A" w:rsidRDefault="001836B5" w:rsidP="000A2190">
      <w:pPr>
        <w:pStyle w:val="NormalWeb"/>
        <w:numPr>
          <w:ilvl w:val="0"/>
          <w:numId w:val="10"/>
        </w:numPr>
        <w:ind w:left="360"/>
        <w:rPr>
          <w:rFonts w:ascii="Century" w:hAnsi="Century"/>
        </w:rPr>
      </w:pPr>
      <w:r w:rsidRPr="00141F3A">
        <w:rPr>
          <w:rFonts w:ascii="Century" w:hAnsi="Century"/>
        </w:rPr>
        <w:t xml:space="preserve">World Health Organization. (2022). </w:t>
      </w:r>
      <w:r w:rsidRPr="00141F3A">
        <w:rPr>
          <w:rStyle w:val="Emphasis"/>
          <w:rFonts w:ascii="Century" w:hAnsi="Century"/>
        </w:rPr>
        <w:t>Mental Health and Substance Use</w:t>
      </w:r>
      <w:r w:rsidRPr="00141F3A">
        <w:rPr>
          <w:rFonts w:ascii="Century" w:hAnsi="Century"/>
        </w:rPr>
        <w:t>.</w:t>
      </w:r>
    </w:p>
    <w:p w14:paraId="3D680CD5" w14:textId="77777777" w:rsidR="000A2190" w:rsidRPr="00141F3A" w:rsidRDefault="000A2190" w:rsidP="000A2190">
      <w:pPr>
        <w:jc w:val="center"/>
        <w:rPr>
          <w:rFonts w:ascii="Century" w:hAnsi="Century"/>
        </w:rPr>
        <w:sectPr w:rsidR="000A2190" w:rsidRPr="00141F3A" w:rsidSect="00A2031E">
          <w:footerReference w:type="default" r:id="rId8"/>
          <w:footerReference w:type="first" r:id="rId9"/>
          <w:pgSz w:w="12240" w:h="15840"/>
          <w:pgMar w:top="1440" w:right="1440" w:bottom="1440" w:left="1440" w:header="720" w:footer="720" w:gutter="0"/>
          <w:cols w:space="720"/>
          <w:docGrid w:linePitch="360"/>
        </w:sectPr>
      </w:pPr>
    </w:p>
    <w:p w14:paraId="5BC110BB" w14:textId="77777777" w:rsidR="000A2190" w:rsidRPr="00141F3A" w:rsidRDefault="000A2190" w:rsidP="000A2190">
      <w:pPr>
        <w:jc w:val="center"/>
        <w:rPr>
          <w:rFonts w:ascii="Century" w:hAnsi="Century"/>
        </w:rPr>
        <w:sectPr w:rsidR="000A2190" w:rsidRPr="00141F3A" w:rsidSect="00A2031E">
          <w:type w:val="continuous"/>
          <w:pgSz w:w="12240" w:h="15840"/>
          <w:pgMar w:top="1440" w:right="1440" w:bottom="1440" w:left="1440" w:header="720" w:footer="720" w:gutter="0"/>
          <w:cols w:num="2" w:space="720"/>
          <w:docGrid w:linePitch="360"/>
        </w:sectPr>
      </w:pPr>
    </w:p>
    <w:tbl>
      <w:tblPr>
        <w:tblStyle w:val="TableGrid"/>
        <w:tblpPr w:leftFromText="180" w:rightFromText="180" w:vertAnchor="text" w:horzAnchor="page" w:tblpX="1237" w:tblpY="-467"/>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A72FE9" w:rsidRPr="00141F3A" w14:paraId="15F53D66" w14:textId="77777777" w:rsidTr="00A72FE9">
        <w:trPr>
          <w:trHeight w:val="8396"/>
        </w:trPr>
        <w:tc>
          <w:tcPr>
            <w:tcW w:w="9900" w:type="dxa"/>
          </w:tcPr>
          <w:p w14:paraId="18ABCF78" w14:textId="77777777" w:rsidR="00A72FE9" w:rsidRPr="00141F3A" w:rsidRDefault="00A72FE9" w:rsidP="00A72FE9">
            <w:pPr>
              <w:jc w:val="center"/>
              <w:rPr>
                <w:rFonts w:ascii="Century" w:hAnsi="Century"/>
              </w:rPr>
            </w:pPr>
          </w:p>
          <w:p w14:paraId="1242F9E6" w14:textId="77777777" w:rsidR="00A72FE9" w:rsidRPr="00141F3A" w:rsidRDefault="00A72FE9" w:rsidP="00A72FE9">
            <w:pPr>
              <w:spacing w:before="100" w:beforeAutospacing="1" w:after="100" w:afterAutospacing="1"/>
              <w:rPr>
                <w:rFonts w:ascii="Century" w:eastAsia="Times New Roman" w:hAnsi="Century" w:cs="Times New Roman"/>
                <w:sz w:val="24"/>
                <w:szCs w:val="24"/>
              </w:rPr>
            </w:pPr>
          </w:p>
          <w:p w14:paraId="2E79B516" w14:textId="77777777" w:rsidR="00A72FE9" w:rsidRPr="00141F3A" w:rsidRDefault="00A72FE9" w:rsidP="00A72FE9">
            <w:pPr>
              <w:spacing w:before="100" w:beforeAutospacing="1" w:after="100" w:afterAutospacing="1"/>
              <w:rPr>
                <w:rFonts w:ascii="Century" w:eastAsia="Times New Roman" w:hAnsi="Century" w:cs="Times New Roman"/>
                <w:sz w:val="24"/>
                <w:szCs w:val="24"/>
              </w:rPr>
            </w:pPr>
          </w:p>
          <w:p w14:paraId="0E24E03E" w14:textId="77777777" w:rsidR="00A72FE9" w:rsidRPr="00141F3A" w:rsidRDefault="00A72FE9" w:rsidP="00A72FE9">
            <w:pPr>
              <w:spacing w:before="100" w:beforeAutospacing="1" w:after="100" w:afterAutospacing="1"/>
              <w:rPr>
                <w:rFonts w:ascii="Century" w:eastAsia="Times New Roman" w:hAnsi="Century" w:cs="Times New Roman"/>
                <w:sz w:val="24"/>
                <w:szCs w:val="24"/>
              </w:rPr>
            </w:pPr>
          </w:p>
          <w:p w14:paraId="37BB566F" w14:textId="77777777" w:rsidR="00A72FE9" w:rsidRPr="00141F3A" w:rsidRDefault="00A72FE9" w:rsidP="00A72FE9">
            <w:pPr>
              <w:spacing w:before="100" w:beforeAutospacing="1" w:after="100" w:afterAutospacing="1"/>
              <w:rPr>
                <w:rFonts w:ascii="Century" w:eastAsia="Times New Roman" w:hAnsi="Century" w:cs="Times New Roman"/>
                <w:sz w:val="24"/>
                <w:szCs w:val="24"/>
              </w:rPr>
            </w:pPr>
          </w:p>
          <w:p w14:paraId="28EFA4BC" w14:textId="77777777" w:rsidR="00A72FE9" w:rsidRPr="00141F3A" w:rsidRDefault="00A72FE9" w:rsidP="00A72FE9">
            <w:pPr>
              <w:spacing w:before="100" w:beforeAutospacing="1" w:after="100" w:afterAutospacing="1"/>
              <w:rPr>
                <w:rFonts w:ascii="Century" w:eastAsia="Times New Roman" w:hAnsi="Century" w:cs="Times New Roman"/>
                <w:sz w:val="24"/>
                <w:szCs w:val="24"/>
              </w:rPr>
            </w:pPr>
          </w:p>
          <w:p w14:paraId="0C8F93EC" w14:textId="77777777" w:rsidR="00A72FE9" w:rsidRPr="00141F3A" w:rsidRDefault="00A72FE9" w:rsidP="00A72FE9">
            <w:pPr>
              <w:spacing w:before="100" w:beforeAutospacing="1" w:after="100" w:afterAutospacing="1"/>
              <w:rPr>
                <w:rFonts w:ascii="Century" w:eastAsia="Times New Roman" w:hAnsi="Century" w:cs="Times New Roman"/>
                <w:sz w:val="24"/>
                <w:szCs w:val="24"/>
              </w:rPr>
            </w:pPr>
          </w:p>
          <w:p w14:paraId="7B2A6D1E" w14:textId="77777777" w:rsidR="00A72FE9" w:rsidRPr="00141F3A" w:rsidRDefault="00A72FE9" w:rsidP="00A72FE9">
            <w:pPr>
              <w:spacing w:before="100" w:beforeAutospacing="1" w:after="100" w:afterAutospacing="1"/>
              <w:rPr>
                <w:rFonts w:ascii="Century" w:eastAsia="Times New Roman" w:hAnsi="Century" w:cs="Times New Roman"/>
                <w:sz w:val="24"/>
                <w:szCs w:val="24"/>
              </w:rPr>
            </w:pPr>
          </w:p>
          <w:p w14:paraId="25A9146E" w14:textId="77777777" w:rsidR="00A72FE9" w:rsidRPr="00141F3A" w:rsidRDefault="00A72FE9" w:rsidP="00A72FE9">
            <w:pPr>
              <w:spacing w:before="100" w:beforeAutospacing="1" w:after="100" w:afterAutospacing="1"/>
              <w:rPr>
                <w:rFonts w:ascii="Century" w:eastAsia="Times New Roman" w:hAnsi="Century" w:cs="Times New Roman"/>
                <w:sz w:val="24"/>
                <w:szCs w:val="24"/>
              </w:rPr>
            </w:pPr>
            <w:r w:rsidRPr="00141F3A">
              <w:rPr>
                <w:rFonts w:ascii="Century" w:hAnsi="Century"/>
                <w:noProof/>
              </w:rPr>
              <w:drawing>
                <wp:anchor distT="0" distB="0" distL="114300" distR="114300" simplePos="0" relativeHeight="251659264" behindDoc="0" locked="0" layoutInCell="1" allowOverlap="1" wp14:anchorId="3247119E" wp14:editId="6B7BB4E9">
                  <wp:simplePos x="0" y="0"/>
                  <wp:positionH relativeFrom="column">
                    <wp:posOffset>1554480</wp:posOffset>
                  </wp:positionH>
                  <wp:positionV relativeFrom="paragraph">
                    <wp:posOffset>-2643505</wp:posOffset>
                  </wp:positionV>
                  <wp:extent cx="2999105" cy="2385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ry Kinkaide - bes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9105" cy="2385060"/>
                          </a:xfrm>
                          <a:prstGeom prst="rect">
                            <a:avLst/>
                          </a:prstGeom>
                        </pic:spPr>
                      </pic:pic>
                    </a:graphicData>
                  </a:graphic>
                  <wp14:sizeRelH relativeFrom="page">
                    <wp14:pctWidth>0</wp14:pctWidth>
                  </wp14:sizeRelH>
                  <wp14:sizeRelV relativeFrom="page">
                    <wp14:pctHeight>0</wp14:pctHeight>
                  </wp14:sizeRelV>
                </wp:anchor>
              </w:drawing>
            </w:r>
            <w:r w:rsidRPr="00141F3A">
              <w:rPr>
                <w:rFonts w:ascii="Century" w:eastAsia="Times New Roman" w:hAnsi="Century" w:cs="Times New Roman"/>
                <w:sz w:val="24"/>
                <w:szCs w:val="24"/>
              </w:rPr>
              <w:t>Perry Kinkaide, MSc, PhD, CMC, is a distinguished author, speaker, and independent advisor who has significantly contributed to the dialogue between the public and private sectors. As the President and CEO of Kinkaide Enterprises, Dr. Kinkaide leads initiatives that span various professional, academic, industrial, and governmental fields. He is also the Editor of the KEI Network's newsletter and producer of its weekly webinars, platforms through which he disseminates cutting-edge ideas and fosters critical discussions.</w:t>
            </w:r>
          </w:p>
          <w:p w14:paraId="6281959A" w14:textId="77777777" w:rsidR="00A72FE9" w:rsidRPr="00141F3A" w:rsidRDefault="00A72FE9" w:rsidP="00A72FE9">
            <w:pPr>
              <w:spacing w:before="100" w:beforeAutospacing="1" w:after="100" w:afterAutospacing="1"/>
              <w:rPr>
                <w:rFonts w:ascii="Century" w:eastAsia="Times New Roman" w:hAnsi="Century" w:cs="Times New Roman"/>
                <w:sz w:val="24"/>
                <w:szCs w:val="24"/>
              </w:rPr>
            </w:pPr>
            <w:r w:rsidRPr="00141F3A">
              <w:rPr>
                <w:rFonts w:ascii="Century" w:eastAsia="Times New Roman" w:hAnsi="Century" w:cs="Times New Roman"/>
                <w:sz w:val="24"/>
                <w:szCs w:val="24"/>
              </w:rPr>
              <w:t xml:space="preserve">Dr. </w:t>
            </w:r>
            <w:proofErr w:type="spellStart"/>
            <w:r w:rsidRPr="00141F3A">
              <w:rPr>
                <w:rFonts w:ascii="Century" w:eastAsia="Times New Roman" w:hAnsi="Century" w:cs="Times New Roman"/>
                <w:sz w:val="24"/>
                <w:szCs w:val="24"/>
              </w:rPr>
              <w:t>Kinkaide’s</w:t>
            </w:r>
            <w:proofErr w:type="spellEnd"/>
            <w:r w:rsidRPr="00141F3A">
              <w:rPr>
                <w:rFonts w:ascii="Century" w:eastAsia="Times New Roman" w:hAnsi="Century" w:cs="Times New Roman"/>
                <w:sz w:val="24"/>
                <w:szCs w:val="24"/>
              </w:rPr>
              <w:t xml:space="preserve"> academic journey began at the University of Alberta, where he received research degrees in Brain Research. His early career was marked by transformative roles as a change agent within the Alberta Government and later at KPMG Consulting. These experiences cemented his reputation as a visionary leader adept at navigating complex organizational landscapes.</w:t>
            </w:r>
          </w:p>
          <w:p w14:paraId="20552664" w14:textId="77777777" w:rsidR="00A72FE9" w:rsidRPr="00141F3A" w:rsidRDefault="00A72FE9" w:rsidP="00A72FE9">
            <w:pPr>
              <w:spacing w:before="100" w:beforeAutospacing="1" w:after="100" w:afterAutospacing="1"/>
              <w:rPr>
                <w:rFonts w:ascii="Century" w:eastAsia="Times New Roman" w:hAnsi="Century" w:cs="Times New Roman"/>
                <w:sz w:val="24"/>
                <w:szCs w:val="24"/>
              </w:rPr>
            </w:pPr>
            <w:r w:rsidRPr="00141F3A">
              <w:rPr>
                <w:rFonts w:ascii="Century" w:eastAsia="Times New Roman" w:hAnsi="Century" w:cs="Times New Roman"/>
                <w:sz w:val="24"/>
                <w:szCs w:val="24"/>
              </w:rPr>
              <w:t xml:space="preserve">In what he terms semi-retirement, Dr. Kinkaide founded the Alberta Council of Technologies, an influential entity that promotes technological innovation across Canada. He also played a pivotal role in establishing the Alberta's </w:t>
            </w:r>
            <w:proofErr w:type="spellStart"/>
            <w:r w:rsidRPr="00141F3A">
              <w:rPr>
                <w:rFonts w:ascii="Century" w:eastAsia="Times New Roman" w:hAnsi="Century" w:cs="Times New Roman"/>
                <w:sz w:val="24"/>
                <w:szCs w:val="24"/>
              </w:rPr>
              <w:t>CleanTech</w:t>
            </w:r>
            <w:proofErr w:type="spellEnd"/>
            <w:r w:rsidRPr="00141F3A">
              <w:rPr>
                <w:rFonts w:ascii="Century" w:eastAsia="Times New Roman" w:hAnsi="Century" w:cs="Times New Roman"/>
                <w:sz w:val="24"/>
                <w:szCs w:val="24"/>
              </w:rPr>
              <w:t xml:space="preserve"> Industry Alliance and contributed to the founding of the Alberta/Canada Fusion Energy Alliance, now known as the Fusion Energy Council of Canada. These initiatives reflect his enduring commitment to advancing sustainable and transformative technologies.</w:t>
            </w:r>
          </w:p>
          <w:p w14:paraId="7DAE7DF3" w14:textId="77777777" w:rsidR="00A72FE9" w:rsidRPr="00141F3A" w:rsidRDefault="00A72FE9" w:rsidP="00A72FE9">
            <w:pPr>
              <w:spacing w:before="100" w:beforeAutospacing="1" w:after="100" w:afterAutospacing="1"/>
              <w:rPr>
                <w:rFonts w:ascii="Century" w:eastAsia="Times New Roman" w:hAnsi="Century" w:cs="Times New Roman"/>
                <w:sz w:val="24"/>
                <w:szCs w:val="24"/>
              </w:rPr>
            </w:pPr>
            <w:r w:rsidRPr="00141F3A">
              <w:rPr>
                <w:rFonts w:ascii="Century" w:eastAsia="Times New Roman" w:hAnsi="Century" w:cs="Times New Roman"/>
                <w:sz w:val="24"/>
                <w:szCs w:val="24"/>
              </w:rPr>
              <w:t xml:space="preserve">Dr. </w:t>
            </w:r>
            <w:proofErr w:type="spellStart"/>
            <w:r w:rsidRPr="00141F3A">
              <w:rPr>
                <w:rFonts w:ascii="Century" w:eastAsia="Times New Roman" w:hAnsi="Century" w:cs="Times New Roman"/>
                <w:sz w:val="24"/>
                <w:szCs w:val="24"/>
              </w:rPr>
              <w:t>Kinkaide's</w:t>
            </w:r>
            <w:proofErr w:type="spellEnd"/>
            <w:r w:rsidRPr="00141F3A">
              <w:rPr>
                <w:rFonts w:ascii="Century" w:eastAsia="Times New Roman" w:hAnsi="Century" w:cs="Times New Roman"/>
                <w:sz w:val="24"/>
                <w:szCs w:val="24"/>
              </w:rPr>
              <w:t xml:space="preserve"> work is driven by a fascination with the global interplay of public and private interests. His insights help shape policies and strategies that address the challenges and opportunities arising from this dynamic. His ability to articulate complex ideas and foster strategic partnerships makes him a sought-after figure in discussions about the future of technology, governance, and society. Through his leadership, Dr. Kinkaide continues to influence a broad spectrum of industries, paving the way for innovative solutions to some of the most pressing issues of our time.</w:t>
            </w:r>
          </w:p>
          <w:p w14:paraId="2A22D940" w14:textId="77777777" w:rsidR="00A72FE9" w:rsidRPr="00141F3A" w:rsidRDefault="00A72FE9" w:rsidP="00A72FE9">
            <w:pPr>
              <w:jc w:val="center"/>
              <w:rPr>
                <w:rFonts w:ascii="Century" w:hAnsi="Century"/>
              </w:rPr>
            </w:pPr>
          </w:p>
        </w:tc>
      </w:tr>
    </w:tbl>
    <w:p w14:paraId="7C414107" w14:textId="77777777" w:rsidR="005F2D62" w:rsidRPr="00141F3A" w:rsidRDefault="005F2D62">
      <w:pPr>
        <w:rPr>
          <w:rFonts w:ascii="Century" w:hAnsi="Century"/>
        </w:rPr>
      </w:pPr>
    </w:p>
    <w:sectPr w:rsidR="005F2D62" w:rsidRPr="00141F3A" w:rsidSect="00A2031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38797" w14:textId="77777777" w:rsidR="001B6679" w:rsidRDefault="001B6679" w:rsidP="00A72FE9">
      <w:pPr>
        <w:spacing w:after="0" w:line="240" w:lineRule="auto"/>
      </w:pPr>
      <w:r>
        <w:separator/>
      </w:r>
    </w:p>
  </w:endnote>
  <w:endnote w:type="continuationSeparator" w:id="0">
    <w:p w14:paraId="43E96AA4" w14:textId="77777777" w:rsidR="001B6679" w:rsidRDefault="001B6679" w:rsidP="00A7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226748"/>
      <w:docPartObj>
        <w:docPartGallery w:val="Page Numbers (Bottom of Page)"/>
        <w:docPartUnique/>
      </w:docPartObj>
    </w:sdtPr>
    <w:sdtEndPr>
      <w:rPr>
        <w:noProof/>
      </w:rPr>
    </w:sdtEndPr>
    <w:sdtContent>
      <w:p w14:paraId="76D925B5" w14:textId="77777777" w:rsidR="00A2031E" w:rsidRDefault="00A2031E">
        <w:pPr>
          <w:pStyle w:val="Footer"/>
          <w:jc w:val="right"/>
        </w:pPr>
        <w:r>
          <w:fldChar w:fldCharType="begin"/>
        </w:r>
        <w:r>
          <w:instrText xml:space="preserve"> PAGE   \* MERGEFORMAT </w:instrText>
        </w:r>
        <w:r>
          <w:fldChar w:fldCharType="separate"/>
        </w:r>
        <w:r w:rsidR="00CD50EF">
          <w:rPr>
            <w:noProof/>
          </w:rPr>
          <w:t>1</w:t>
        </w:r>
        <w:r>
          <w:rPr>
            <w:noProof/>
          </w:rPr>
          <w:fldChar w:fldCharType="end"/>
        </w:r>
      </w:p>
    </w:sdtContent>
  </w:sdt>
  <w:p w14:paraId="03887F80" w14:textId="77777777" w:rsidR="00A72FE9" w:rsidRDefault="00A72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387143"/>
      <w:docPartObj>
        <w:docPartGallery w:val="Page Numbers (Bottom of Page)"/>
        <w:docPartUnique/>
      </w:docPartObj>
    </w:sdtPr>
    <w:sdtEndPr>
      <w:rPr>
        <w:noProof/>
      </w:rPr>
    </w:sdtEndPr>
    <w:sdtContent>
      <w:p w14:paraId="00CD9D75" w14:textId="77777777" w:rsidR="00F51702" w:rsidRDefault="00F51702">
        <w:pPr>
          <w:pStyle w:val="Footer"/>
          <w:jc w:val="right"/>
        </w:pPr>
        <w:r>
          <w:fldChar w:fldCharType="begin"/>
        </w:r>
        <w:r>
          <w:instrText xml:space="preserve"> PAGE   \* MERGEFORMAT </w:instrText>
        </w:r>
        <w:r>
          <w:fldChar w:fldCharType="separate"/>
        </w:r>
        <w:r w:rsidR="00A2031E">
          <w:rPr>
            <w:noProof/>
          </w:rPr>
          <w:t>1</w:t>
        </w:r>
        <w:r>
          <w:rPr>
            <w:noProof/>
          </w:rPr>
          <w:fldChar w:fldCharType="end"/>
        </w:r>
      </w:p>
    </w:sdtContent>
  </w:sdt>
  <w:p w14:paraId="6B1E4CEB" w14:textId="77777777" w:rsidR="00F51702" w:rsidRDefault="00F51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B831" w14:textId="77777777" w:rsidR="001B6679" w:rsidRDefault="001B6679" w:rsidP="00A72FE9">
      <w:pPr>
        <w:spacing w:after="0" w:line="240" w:lineRule="auto"/>
      </w:pPr>
      <w:r>
        <w:separator/>
      </w:r>
    </w:p>
  </w:footnote>
  <w:footnote w:type="continuationSeparator" w:id="0">
    <w:p w14:paraId="5EE5BB02" w14:textId="77777777" w:rsidR="001B6679" w:rsidRDefault="001B6679" w:rsidP="00A72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031"/>
    <w:multiLevelType w:val="multilevel"/>
    <w:tmpl w:val="A998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71216"/>
    <w:multiLevelType w:val="multilevel"/>
    <w:tmpl w:val="FA96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81EA6"/>
    <w:multiLevelType w:val="multilevel"/>
    <w:tmpl w:val="0B20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74EF9"/>
    <w:multiLevelType w:val="multilevel"/>
    <w:tmpl w:val="C3B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F078E"/>
    <w:multiLevelType w:val="multilevel"/>
    <w:tmpl w:val="27DC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A0483"/>
    <w:multiLevelType w:val="multilevel"/>
    <w:tmpl w:val="9B38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7C72C7"/>
    <w:multiLevelType w:val="multilevel"/>
    <w:tmpl w:val="FE5A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D3974"/>
    <w:multiLevelType w:val="multilevel"/>
    <w:tmpl w:val="C9BE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6E2004"/>
    <w:multiLevelType w:val="multilevel"/>
    <w:tmpl w:val="DD04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24043D"/>
    <w:multiLevelType w:val="multilevel"/>
    <w:tmpl w:val="705A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571929">
    <w:abstractNumId w:val="9"/>
  </w:num>
  <w:num w:numId="2" w16cid:durableId="121307345">
    <w:abstractNumId w:val="4"/>
  </w:num>
  <w:num w:numId="3" w16cid:durableId="1019044965">
    <w:abstractNumId w:val="1"/>
  </w:num>
  <w:num w:numId="4" w16cid:durableId="1511943352">
    <w:abstractNumId w:val="0"/>
  </w:num>
  <w:num w:numId="5" w16cid:durableId="259143932">
    <w:abstractNumId w:val="2"/>
  </w:num>
  <w:num w:numId="6" w16cid:durableId="2108883284">
    <w:abstractNumId w:val="7"/>
  </w:num>
  <w:num w:numId="7" w16cid:durableId="1329166148">
    <w:abstractNumId w:val="3"/>
  </w:num>
  <w:num w:numId="8" w16cid:durableId="2115637897">
    <w:abstractNumId w:val="6"/>
  </w:num>
  <w:num w:numId="9" w16cid:durableId="252905308">
    <w:abstractNumId w:val="8"/>
  </w:num>
  <w:num w:numId="10" w16cid:durableId="915669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63"/>
    <w:rsid w:val="000303C5"/>
    <w:rsid w:val="000A2190"/>
    <w:rsid w:val="000B2BDF"/>
    <w:rsid w:val="00141F3A"/>
    <w:rsid w:val="001836B5"/>
    <w:rsid w:val="001B6679"/>
    <w:rsid w:val="00473550"/>
    <w:rsid w:val="005F2D62"/>
    <w:rsid w:val="007501FC"/>
    <w:rsid w:val="007E0B3D"/>
    <w:rsid w:val="008E6D1B"/>
    <w:rsid w:val="00A2031E"/>
    <w:rsid w:val="00A36C62"/>
    <w:rsid w:val="00A53B72"/>
    <w:rsid w:val="00A72FE9"/>
    <w:rsid w:val="00A849DA"/>
    <w:rsid w:val="00B452B9"/>
    <w:rsid w:val="00B70263"/>
    <w:rsid w:val="00CB33A6"/>
    <w:rsid w:val="00CC4BE7"/>
    <w:rsid w:val="00CD50EF"/>
    <w:rsid w:val="00D42420"/>
    <w:rsid w:val="00E43AAE"/>
    <w:rsid w:val="00F51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07CE3"/>
  <w15:docId w15:val="{C6792943-F38D-4867-A331-543D6CD0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263"/>
  </w:style>
  <w:style w:type="paragraph" w:styleId="Heading3">
    <w:name w:val="heading 3"/>
    <w:basedOn w:val="Normal"/>
    <w:link w:val="Heading3Char"/>
    <w:uiPriority w:val="9"/>
    <w:qFormat/>
    <w:rsid w:val="00A53B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53B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02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0263"/>
    <w:rPr>
      <w:b/>
      <w:bCs/>
    </w:rPr>
  </w:style>
  <w:style w:type="character" w:styleId="Emphasis">
    <w:name w:val="Emphasis"/>
    <w:basedOn w:val="DefaultParagraphFont"/>
    <w:uiPriority w:val="20"/>
    <w:qFormat/>
    <w:rsid w:val="001836B5"/>
    <w:rPr>
      <w:i/>
      <w:iCs/>
    </w:rPr>
  </w:style>
  <w:style w:type="paragraph" w:styleId="BalloonText">
    <w:name w:val="Balloon Text"/>
    <w:basedOn w:val="Normal"/>
    <w:link w:val="BalloonTextChar"/>
    <w:uiPriority w:val="99"/>
    <w:semiHidden/>
    <w:unhideWhenUsed/>
    <w:rsid w:val="000A2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190"/>
    <w:rPr>
      <w:rFonts w:ascii="Tahoma" w:hAnsi="Tahoma" w:cs="Tahoma"/>
      <w:sz w:val="16"/>
      <w:szCs w:val="16"/>
    </w:rPr>
  </w:style>
  <w:style w:type="table" w:styleId="TableGrid">
    <w:name w:val="Table Grid"/>
    <w:basedOn w:val="TableNormal"/>
    <w:uiPriority w:val="59"/>
    <w:rsid w:val="00A72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FE9"/>
  </w:style>
  <w:style w:type="paragraph" w:styleId="Footer">
    <w:name w:val="footer"/>
    <w:basedOn w:val="Normal"/>
    <w:link w:val="FooterChar"/>
    <w:uiPriority w:val="99"/>
    <w:unhideWhenUsed/>
    <w:rsid w:val="00A72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FE9"/>
  </w:style>
  <w:style w:type="character" w:customStyle="1" w:styleId="Heading3Char">
    <w:name w:val="Heading 3 Char"/>
    <w:basedOn w:val="DefaultParagraphFont"/>
    <w:link w:val="Heading3"/>
    <w:uiPriority w:val="9"/>
    <w:rsid w:val="00A53B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53B7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3756">
      <w:bodyDiv w:val="1"/>
      <w:marLeft w:val="0"/>
      <w:marRight w:val="0"/>
      <w:marTop w:val="0"/>
      <w:marBottom w:val="0"/>
      <w:divBdr>
        <w:top w:val="none" w:sz="0" w:space="0" w:color="auto"/>
        <w:left w:val="none" w:sz="0" w:space="0" w:color="auto"/>
        <w:bottom w:val="none" w:sz="0" w:space="0" w:color="auto"/>
        <w:right w:val="none" w:sz="0" w:space="0" w:color="auto"/>
      </w:divBdr>
    </w:div>
    <w:div w:id="160001421">
      <w:bodyDiv w:val="1"/>
      <w:marLeft w:val="0"/>
      <w:marRight w:val="0"/>
      <w:marTop w:val="0"/>
      <w:marBottom w:val="0"/>
      <w:divBdr>
        <w:top w:val="none" w:sz="0" w:space="0" w:color="auto"/>
        <w:left w:val="none" w:sz="0" w:space="0" w:color="auto"/>
        <w:bottom w:val="none" w:sz="0" w:space="0" w:color="auto"/>
        <w:right w:val="none" w:sz="0" w:space="0" w:color="auto"/>
      </w:divBdr>
    </w:div>
    <w:div w:id="185750219">
      <w:bodyDiv w:val="1"/>
      <w:marLeft w:val="0"/>
      <w:marRight w:val="0"/>
      <w:marTop w:val="0"/>
      <w:marBottom w:val="0"/>
      <w:divBdr>
        <w:top w:val="none" w:sz="0" w:space="0" w:color="auto"/>
        <w:left w:val="none" w:sz="0" w:space="0" w:color="auto"/>
        <w:bottom w:val="none" w:sz="0" w:space="0" w:color="auto"/>
        <w:right w:val="none" w:sz="0" w:space="0" w:color="auto"/>
      </w:divBdr>
    </w:div>
    <w:div w:id="211117611">
      <w:bodyDiv w:val="1"/>
      <w:marLeft w:val="0"/>
      <w:marRight w:val="0"/>
      <w:marTop w:val="0"/>
      <w:marBottom w:val="0"/>
      <w:divBdr>
        <w:top w:val="none" w:sz="0" w:space="0" w:color="auto"/>
        <w:left w:val="none" w:sz="0" w:space="0" w:color="auto"/>
        <w:bottom w:val="none" w:sz="0" w:space="0" w:color="auto"/>
        <w:right w:val="none" w:sz="0" w:space="0" w:color="auto"/>
      </w:divBdr>
    </w:div>
    <w:div w:id="285892413">
      <w:bodyDiv w:val="1"/>
      <w:marLeft w:val="0"/>
      <w:marRight w:val="0"/>
      <w:marTop w:val="0"/>
      <w:marBottom w:val="0"/>
      <w:divBdr>
        <w:top w:val="none" w:sz="0" w:space="0" w:color="auto"/>
        <w:left w:val="none" w:sz="0" w:space="0" w:color="auto"/>
        <w:bottom w:val="none" w:sz="0" w:space="0" w:color="auto"/>
        <w:right w:val="none" w:sz="0" w:space="0" w:color="auto"/>
      </w:divBdr>
    </w:div>
    <w:div w:id="293098256">
      <w:bodyDiv w:val="1"/>
      <w:marLeft w:val="0"/>
      <w:marRight w:val="0"/>
      <w:marTop w:val="0"/>
      <w:marBottom w:val="0"/>
      <w:divBdr>
        <w:top w:val="none" w:sz="0" w:space="0" w:color="auto"/>
        <w:left w:val="none" w:sz="0" w:space="0" w:color="auto"/>
        <w:bottom w:val="none" w:sz="0" w:space="0" w:color="auto"/>
        <w:right w:val="none" w:sz="0" w:space="0" w:color="auto"/>
      </w:divBdr>
    </w:div>
    <w:div w:id="408775874">
      <w:bodyDiv w:val="1"/>
      <w:marLeft w:val="0"/>
      <w:marRight w:val="0"/>
      <w:marTop w:val="0"/>
      <w:marBottom w:val="0"/>
      <w:divBdr>
        <w:top w:val="none" w:sz="0" w:space="0" w:color="auto"/>
        <w:left w:val="none" w:sz="0" w:space="0" w:color="auto"/>
        <w:bottom w:val="none" w:sz="0" w:space="0" w:color="auto"/>
        <w:right w:val="none" w:sz="0" w:space="0" w:color="auto"/>
      </w:divBdr>
    </w:div>
    <w:div w:id="547183966">
      <w:bodyDiv w:val="1"/>
      <w:marLeft w:val="0"/>
      <w:marRight w:val="0"/>
      <w:marTop w:val="0"/>
      <w:marBottom w:val="0"/>
      <w:divBdr>
        <w:top w:val="none" w:sz="0" w:space="0" w:color="auto"/>
        <w:left w:val="none" w:sz="0" w:space="0" w:color="auto"/>
        <w:bottom w:val="none" w:sz="0" w:space="0" w:color="auto"/>
        <w:right w:val="none" w:sz="0" w:space="0" w:color="auto"/>
      </w:divBdr>
    </w:div>
    <w:div w:id="830416162">
      <w:bodyDiv w:val="1"/>
      <w:marLeft w:val="0"/>
      <w:marRight w:val="0"/>
      <w:marTop w:val="0"/>
      <w:marBottom w:val="0"/>
      <w:divBdr>
        <w:top w:val="none" w:sz="0" w:space="0" w:color="auto"/>
        <w:left w:val="none" w:sz="0" w:space="0" w:color="auto"/>
        <w:bottom w:val="none" w:sz="0" w:space="0" w:color="auto"/>
        <w:right w:val="none" w:sz="0" w:space="0" w:color="auto"/>
      </w:divBdr>
    </w:div>
    <w:div w:id="835455790">
      <w:bodyDiv w:val="1"/>
      <w:marLeft w:val="0"/>
      <w:marRight w:val="0"/>
      <w:marTop w:val="0"/>
      <w:marBottom w:val="0"/>
      <w:divBdr>
        <w:top w:val="none" w:sz="0" w:space="0" w:color="auto"/>
        <w:left w:val="none" w:sz="0" w:space="0" w:color="auto"/>
        <w:bottom w:val="none" w:sz="0" w:space="0" w:color="auto"/>
        <w:right w:val="none" w:sz="0" w:space="0" w:color="auto"/>
      </w:divBdr>
    </w:div>
    <w:div w:id="851913904">
      <w:bodyDiv w:val="1"/>
      <w:marLeft w:val="0"/>
      <w:marRight w:val="0"/>
      <w:marTop w:val="0"/>
      <w:marBottom w:val="0"/>
      <w:divBdr>
        <w:top w:val="none" w:sz="0" w:space="0" w:color="auto"/>
        <w:left w:val="none" w:sz="0" w:space="0" w:color="auto"/>
        <w:bottom w:val="none" w:sz="0" w:space="0" w:color="auto"/>
        <w:right w:val="none" w:sz="0" w:space="0" w:color="auto"/>
      </w:divBdr>
    </w:div>
    <w:div w:id="908735412">
      <w:bodyDiv w:val="1"/>
      <w:marLeft w:val="0"/>
      <w:marRight w:val="0"/>
      <w:marTop w:val="0"/>
      <w:marBottom w:val="0"/>
      <w:divBdr>
        <w:top w:val="none" w:sz="0" w:space="0" w:color="auto"/>
        <w:left w:val="none" w:sz="0" w:space="0" w:color="auto"/>
        <w:bottom w:val="none" w:sz="0" w:space="0" w:color="auto"/>
        <w:right w:val="none" w:sz="0" w:space="0" w:color="auto"/>
      </w:divBdr>
    </w:div>
    <w:div w:id="908805991">
      <w:bodyDiv w:val="1"/>
      <w:marLeft w:val="0"/>
      <w:marRight w:val="0"/>
      <w:marTop w:val="0"/>
      <w:marBottom w:val="0"/>
      <w:divBdr>
        <w:top w:val="none" w:sz="0" w:space="0" w:color="auto"/>
        <w:left w:val="none" w:sz="0" w:space="0" w:color="auto"/>
        <w:bottom w:val="none" w:sz="0" w:space="0" w:color="auto"/>
        <w:right w:val="none" w:sz="0" w:space="0" w:color="auto"/>
      </w:divBdr>
    </w:div>
    <w:div w:id="1029601358">
      <w:bodyDiv w:val="1"/>
      <w:marLeft w:val="0"/>
      <w:marRight w:val="0"/>
      <w:marTop w:val="0"/>
      <w:marBottom w:val="0"/>
      <w:divBdr>
        <w:top w:val="none" w:sz="0" w:space="0" w:color="auto"/>
        <w:left w:val="none" w:sz="0" w:space="0" w:color="auto"/>
        <w:bottom w:val="none" w:sz="0" w:space="0" w:color="auto"/>
        <w:right w:val="none" w:sz="0" w:space="0" w:color="auto"/>
      </w:divBdr>
    </w:div>
    <w:div w:id="1187326661">
      <w:bodyDiv w:val="1"/>
      <w:marLeft w:val="0"/>
      <w:marRight w:val="0"/>
      <w:marTop w:val="0"/>
      <w:marBottom w:val="0"/>
      <w:divBdr>
        <w:top w:val="none" w:sz="0" w:space="0" w:color="auto"/>
        <w:left w:val="none" w:sz="0" w:space="0" w:color="auto"/>
        <w:bottom w:val="none" w:sz="0" w:space="0" w:color="auto"/>
        <w:right w:val="none" w:sz="0" w:space="0" w:color="auto"/>
      </w:divBdr>
    </w:div>
    <w:div w:id="1247811766">
      <w:bodyDiv w:val="1"/>
      <w:marLeft w:val="0"/>
      <w:marRight w:val="0"/>
      <w:marTop w:val="0"/>
      <w:marBottom w:val="0"/>
      <w:divBdr>
        <w:top w:val="none" w:sz="0" w:space="0" w:color="auto"/>
        <w:left w:val="none" w:sz="0" w:space="0" w:color="auto"/>
        <w:bottom w:val="none" w:sz="0" w:space="0" w:color="auto"/>
        <w:right w:val="none" w:sz="0" w:space="0" w:color="auto"/>
      </w:divBdr>
    </w:div>
    <w:div w:id="1472089126">
      <w:bodyDiv w:val="1"/>
      <w:marLeft w:val="0"/>
      <w:marRight w:val="0"/>
      <w:marTop w:val="0"/>
      <w:marBottom w:val="0"/>
      <w:divBdr>
        <w:top w:val="none" w:sz="0" w:space="0" w:color="auto"/>
        <w:left w:val="none" w:sz="0" w:space="0" w:color="auto"/>
        <w:bottom w:val="none" w:sz="0" w:space="0" w:color="auto"/>
        <w:right w:val="none" w:sz="0" w:space="0" w:color="auto"/>
      </w:divBdr>
    </w:div>
    <w:div w:id="1654523897">
      <w:bodyDiv w:val="1"/>
      <w:marLeft w:val="0"/>
      <w:marRight w:val="0"/>
      <w:marTop w:val="0"/>
      <w:marBottom w:val="0"/>
      <w:divBdr>
        <w:top w:val="none" w:sz="0" w:space="0" w:color="auto"/>
        <w:left w:val="none" w:sz="0" w:space="0" w:color="auto"/>
        <w:bottom w:val="none" w:sz="0" w:space="0" w:color="auto"/>
        <w:right w:val="none" w:sz="0" w:space="0" w:color="auto"/>
      </w:divBdr>
    </w:div>
    <w:div w:id="1760906661">
      <w:bodyDiv w:val="1"/>
      <w:marLeft w:val="0"/>
      <w:marRight w:val="0"/>
      <w:marTop w:val="0"/>
      <w:marBottom w:val="0"/>
      <w:divBdr>
        <w:top w:val="none" w:sz="0" w:space="0" w:color="auto"/>
        <w:left w:val="none" w:sz="0" w:space="0" w:color="auto"/>
        <w:bottom w:val="none" w:sz="0" w:space="0" w:color="auto"/>
        <w:right w:val="none" w:sz="0" w:space="0" w:color="auto"/>
      </w:divBdr>
    </w:div>
    <w:div w:id="1913931875">
      <w:bodyDiv w:val="1"/>
      <w:marLeft w:val="0"/>
      <w:marRight w:val="0"/>
      <w:marTop w:val="0"/>
      <w:marBottom w:val="0"/>
      <w:divBdr>
        <w:top w:val="none" w:sz="0" w:space="0" w:color="auto"/>
        <w:left w:val="none" w:sz="0" w:space="0" w:color="auto"/>
        <w:bottom w:val="none" w:sz="0" w:space="0" w:color="auto"/>
        <w:right w:val="none" w:sz="0" w:space="0" w:color="auto"/>
      </w:divBdr>
    </w:div>
    <w:div w:id="2096584766">
      <w:bodyDiv w:val="1"/>
      <w:marLeft w:val="0"/>
      <w:marRight w:val="0"/>
      <w:marTop w:val="0"/>
      <w:marBottom w:val="0"/>
      <w:divBdr>
        <w:top w:val="none" w:sz="0" w:space="0" w:color="auto"/>
        <w:left w:val="none" w:sz="0" w:space="0" w:color="auto"/>
        <w:bottom w:val="none" w:sz="0" w:space="0" w:color="auto"/>
        <w:right w:val="none" w:sz="0" w:space="0" w:color="auto"/>
      </w:divBdr>
    </w:div>
    <w:div w:id="210561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10462</Words>
  <Characters>59638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2025-01-02T17:24:00Z</cp:lastPrinted>
  <dcterms:created xsi:type="dcterms:W3CDTF">2025-12-27T04:26:00Z</dcterms:created>
  <dcterms:modified xsi:type="dcterms:W3CDTF">2025-12-27T04:26:00Z</dcterms:modified>
</cp:coreProperties>
</file>