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A3BD9" w14:textId="6B41B12E" w:rsidR="00352D51" w:rsidRDefault="00D66935" w:rsidP="00352D51">
      <w:pPr>
        <w:spacing w:before="240" w:after="240" w:line="240" w:lineRule="auto"/>
        <w:rPr>
          <w:rFonts w:ascii="Verdana" w:eastAsia="Times New Roman" w:hAnsi="Verdana" w:cs="Arial"/>
          <w:color w:val="000000"/>
          <w:sz w:val="18"/>
          <w:szCs w:val="18"/>
        </w:rPr>
      </w:pPr>
      <w:proofErr w:type="spellStart"/>
      <w:r>
        <w:rPr>
          <w:rFonts w:ascii="Verdana" w:eastAsia="Times New Roman" w:hAnsi="Verdana" w:cs="Arial"/>
          <w:color w:val="000000"/>
          <w:sz w:val="18"/>
          <w:szCs w:val="18"/>
        </w:rPr>
        <w:t>ABCtech</w:t>
      </w:r>
      <w:proofErr w:type="spellEnd"/>
      <w:r>
        <w:rPr>
          <w:rFonts w:ascii="Verdana" w:eastAsia="Times New Roman" w:hAnsi="Verdana" w:cs="Arial"/>
          <w:color w:val="000000"/>
          <w:sz w:val="18"/>
          <w:szCs w:val="18"/>
        </w:rPr>
        <w:t xml:space="preserve"> #82 25JAN17 </w:t>
      </w:r>
      <w:r w:rsidR="00352D51">
        <w:rPr>
          <w:rFonts w:ascii="Verdana" w:eastAsia="Times New Roman" w:hAnsi="Verdana" w:cs="Arial"/>
          <w:color w:val="000000"/>
          <w:sz w:val="18"/>
          <w:szCs w:val="18"/>
        </w:rPr>
        <w:t>Monitoring Fusion Energy</w:t>
      </w:r>
    </w:p>
    <w:p w14:paraId="5BD86CAD" w14:textId="12BD27BD" w:rsidR="00352D51" w:rsidRPr="003C794C" w:rsidRDefault="00352D51" w:rsidP="00352D51">
      <w:pPr>
        <w:spacing w:before="240" w:after="240" w:line="240" w:lineRule="auto"/>
        <w:rPr>
          <w:rFonts w:ascii="Verdana" w:eastAsia="Times New Roman" w:hAnsi="Verdana" w:cs="Arial"/>
          <w:color w:val="000000"/>
          <w:sz w:val="17"/>
          <w:szCs w:val="17"/>
        </w:rPr>
      </w:pPr>
      <w:r w:rsidRPr="003C794C">
        <w:rPr>
          <w:rFonts w:ascii="Verdana" w:eastAsia="Times New Roman" w:hAnsi="Verdana" w:cs="Arial"/>
          <w:color w:val="000000"/>
          <w:sz w:val="18"/>
          <w:szCs w:val="18"/>
        </w:rPr>
        <w:t xml:space="preserve">Many of our subscribers have expressed interest in learning more about Fusion Energy as the ultimate change agent for decarbonizing energy. Over the coming weeks </w:t>
      </w:r>
      <w:r>
        <w:rPr>
          <w:rFonts w:ascii="Verdana" w:eastAsia="Times New Roman" w:hAnsi="Verdana" w:cs="Arial"/>
          <w:color w:val="000000"/>
          <w:sz w:val="18"/>
          <w:szCs w:val="18"/>
        </w:rPr>
        <w:t>we will be featuring Clean Techn</w:t>
      </w:r>
      <w:r w:rsidRPr="003C794C">
        <w:rPr>
          <w:rFonts w:ascii="Verdana" w:eastAsia="Times New Roman" w:hAnsi="Verdana" w:cs="Arial"/>
          <w:color w:val="000000"/>
          <w:sz w:val="18"/>
          <w:szCs w:val="18"/>
        </w:rPr>
        <w:t>ologies, portraying fusion as the ultimate heat source for redu</w:t>
      </w:r>
      <w:r>
        <w:rPr>
          <w:rFonts w:ascii="Verdana" w:eastAsia="Times New Roman" w:hAnsi="Verdana" w:cs="Arial"/>
          <w:color w:val="000000"/>
          <w:sz w:val="18"/>
          <w:szCs w:val="18"/>
        </w:rPr>
        <w:t>c</w:t>
      </w:r>
      <w:r w:rsidRPr="003C794C">
        <w:rPr>
          <w:rFonts w:ascii="Verdana" w:eastAsia="Times New Roman" w:hAnsi="Verdana" w:cs="Arial"/>
          <w:color w:val="000000"/>
          <w:sz w:val="18"/>
          <w:szCs w:val="18"/>
        </w:rPr>
        <w:t xml:space="preserve">ing GHG emissions </w:t>
      </w:r>
      <w:r>
        <w:rPr>
          <w:rFonts w:ascii="Verdana" w:eastAsia="Times New Roman" w:hAnsi="Verdana" w:cs="Arial"/>
          <w:color w:val="000000"/>
          <w:sz w:val="18"/>
          <w:szCs w:val="18"/>
        </w:rPr>
        <w:t xml:space="preserve">in </w:t>
      </w:r>
      <w:r w:rsidRPr="003C794C">
        <w:rPr>
          <w:rFonts w:ascii="Verdana" w:eastAsia="Times New Roman" w:hAnsi="Verdana" w:cs="Arial"/>
          <w:color w:val="000000"/>
          <w:sz w:val="18"/>
          <w:szCs w:val="18"/>
        </w:rPr>
        <w:t>oil sands production. What is Canada's plan to remain relevant in energy production in the long-term? </w:t>
      </w:r>
      <w:r w:rsidRPr="003C794C">
        <w:rPr>
          <w:rFonts w:ascii="Verdana" w:eastAsia="Times New Roman" w:hAnsi="Verdana" w:cs="Arial"/>
          <w:b/>
          <w:bCs/>
          <w:color w:val="000000"/>
          <w:sz w:val="18"/>
          <w:szCs w:val="18"/>
        </w:rPr>
        <w:t> - Editor</w:t>
      </w:r>
      <w:r w:rsidR="00000000">
        <w:rPr>
          <w:rFonts w:ascii="Verdana" w:eastAsia="Times New Roman" w:hAnsi="Verdana" w:cs="Arial"/>
          <w:color w:val="000000"/>
          <w:sz w:val="17"/>
          <w:szCs w:val="17"/>
        </w:rPr>
        <w:pict w14:anchorId="26746F24">
          <v:rect id="_x0000_i1025" style="width:0;height:1.5pt" o:hralign="center" o:hrstd="t" o:hr="t" fillcolor="#a0a0a0" stroked="f"/>
        </w:pict>
      </w:r>
    </w:p>
    <w:p w14:paraId="18CE1652" w14:textId="77777777" w:rsidR="00352D51" w:rsidRPr="003C794C" w:rsidRDefault="00352D51" w:rsidP="00352D51">
      <w:pPr>
        <w:spacing w:before="240" w:after="240" w:line="240" w:lineRule="auto"/>
        <w:rPr>
          <w:rFonts w:ascii="Verdana" w:eastAsia="Times New Roman" w:hAnsi="Verdana" w:cs="Arial"/>
          <w:color w:val="000000"/>
          <w:sz w:val="17"/>
          <w:szCs w:val="17"/>
        </w:rPr>
      </w:pPr>
      <w:r w:rsidRPr="003C794C">
        <w:rPr>
          <w:rFonts w:ascii="Verdana" w:eastAsia="Times New Roman" w:hAnsi="Verdana" w:cs="Arial"/>
          <w:b/>
          <w:bCs/>
          <w:color w:val="000000"/>
          <w:sz w:val="27"/>
          <w:szCs w:val="27"/>
        </w:rPr>
        <w:t>Fusion energy roadmap pushing emissions</w:t>
      </w:r>
      <w:r w:rsidRPr="003C794C">
        <w:rPr>
          <w:rFonts w:ascii="Cambria Math" w:eastAsia="Times New Roman" w:hAnsi="Cambria Math" w:cs="Cambria Math"/>
          <w:b/>
          <w:bCs/>
          <w:color w:val="000000"/>
          <w:sz w:val="27"/>
          <w:szCs w:val="27"/>
        </w:rPr>
        <w:t>‐</w:t>
      </w:r>
      <w:r w:rsidRPr="003C794C">
        <w:rPr>
          <w:rFonts w:ascii="Verdana" w:eastAsia="Times New Roman" w:hAnsi="Verdana" w:cs="Arial"/>
          <w:b/>
          <w:bCs/>
          <w:color w:val="000000"/>
          <w:sz w:val="27"/>
          <w:szCs w:val="27"/>
        </w:rPr>
        <w:t>free</w:t>
      </w:r>
      <w:r w:rsidRPr="003C794C">
        <w:rPr>
          <w:rFonts w:ascii="Verdana" w:eastAsia="Times New Roman" w:hAnsi="Verdana" w:cs="Verdana"/>
          <w:b/>
          <w:bCs/>
          <w:color w:val="000000"/>
          <w:sz w:val="27"/>
          <w:szCs w:val="27"/>
        </w:rPr>
        <w:t> </w:t>
      </w:r>
      <w:r w:rsidRPr="003C794C">
        <w:rPr>
          <w:rFonts w:ascii="Verdana" w:eastAsia="Times New Roman" w:hAnsi="Verdana" w:cs="Arial"/>
          <w:b/>
          <w:bCs/>
          <w:color w:val="000000"/>
          <w:sz w:val="27"/>
          <w:szCs w:val="27"/>
        </w:rPr>
        <w:t>energy onto political radar, Innovation Agenda </w:t>
      </w:r>
    </w:p>
    <w:p w14:paraId="353B09BA" w14:textId="77777777" w:rsidR="00352D51" w:rsidRPr="003C794C" w:rsidRDefault="00352D51" w:rsidP="00352D51">
      <w:pPr>
        <w:spacing w:before="240" w:after="240" w:line="240" w:lineRule="auto"/>
        <w:rPr>
          <w:rFonts w:ascii="Verdana" w:eastAsia="Times New Roman" w:hAnsi="Verdana" w:cs="Arial"/>
          <w:color w:val="000000"/>
          <w:sz w:val="17"/>
          <w:szCs w:val="17"/>
        </w:rPr>
      </w:pPr>
      <w:r w:rsidRPr="003C794C">
        <w:rPr>
          <w:rFonts w:ascii="Verdana" w:eastAsia="Times New Roman" w:hAnsi="Verdana" w:cs="Arial"/>
          <w:color w:val="000000"/>
          <w:sz w:val="18"/>
          <w:szCs w:val="18"/>
        </w:rPr>
        <w:t>First order of business is talent. Energy fusion research is back on the political radar with the release of a roadmap that calls for a national program and $250 million over five years to build capacity and position Canada as a global competitor. Supported by a group of academics, not-for-profits and industry, the roadmap was presented to the House of Commons Standing Committee on Natural Resources last November and has been tabled as part of the consultations to both the fundamental science review and the Innovation Agenda.</w:t>
      </w:r>
    </w:p>
    <w:p w14:paraId="34F0F86B" w14:textId="77777777" w:rsidR="00352D51" w:rsidRPr="003C794C" w:rsidRDefault="00352D51" w:rsidP="00352D51">
      <w:pPr>
        <w:spacing w:before="240" w:after="240" w:line="240" w:lineRule="auto"/>
        <w:rPr>
          <w:rFonts w:ascii="Verdana" w:eastAsia="Times New Roman" w:hAnsi="Verdana" w:cs="Arial"/>
          <w:color w:val="000000"/>
          <w:sz w:val="17"/>
          <w:szCs w:val="17"/>
        </w:rPr>
      </w:pPr>
      <w:r w:rsidRPr="003C794C">
        <w:rPr>
          <w:rFonts w:ascii="Verdana" w:eastAsia="Times New Roman" w:hAnsi="Verdana" w:cs="Arial"/>
          <w:b/>
          <w:bCs/>
          <w:color w:val="000000"/>
          <w:sz w:val="18"/>
          <w:szCs w:val="18"/>
        </w:rPr>
        <w:t>Fusion 2030: Roadmap for Canada</w:t>
      </w:r>
      <w:r w:rsidRPr="003C794C">
        <w:rPr>
          <w:rFonts w:ascii="Verdana" w:eastAsia="Times New Roman" w:hAnsi="Verdana" w:cs="Arial"/>
          <w:color w:val="000000"/>
          <w:sz w:val="18"/>
          <w:szCs w:val="18"/>
        </w:rPr>
        <w:t> details the country’s long and largely feeble participation in energy fusion ...</w:t>
      </w:r>
      <w:r w:rsidRPr="003C794C">
        <w:rPr>
          <w:rFonts w:ascii="Verdana" w:eastAsia="Times New Roman" w:hAnsi="Verdana" w:cs="Arial"/>
          <w:color w:val="000000"/>
          <w:sz w:val="17"/>
          <w:szCs w:val="17"/>
        </w:rPr>
        <w:t>  </w:t>
      </w:r>
      <w:hyperlink r:id="rId4" w:history="1">
        <w:r w:rsidRPr="00F51CC2">
          <w:rPr>
            <w:rFonts w:ascii="Verdana" w:eastAsia="Times New Roman" w:hAnsi="Verdana" w:cs="Arial"/>
            <w:b/>
            <w:bCs/>
            <w:color w:val="0000FF"/>
            <w:sz w:val="24"/>
            <w:szCs w:val="24"/>
            <w:u w:val="single"/>
          </w:rPr>
          <w:t>FOR MORE</w:t>
        </w:r>
      </w:hyperlink>
    </w:p>
    <w:p w14:paraId="1B76DE2A" w14:textId="77777777" w:rsidR="00352D51" w:rsidRPr="003C794C" w:rsidRDefault="00352D51" w:rsidP="00352D51">
      <w:pPr>
        <w:spacing w:before="161" w:after="161" w:line="240" w:lineRule="auto"/>
        <w:outlineLvl w:val="0"/>
        <w:rPr>
          <w:rFonts w:ascii="Verdana" w:eastAsia="Times New Roman" w:hAnsi="Verdana" w:cs="Arial"/>
          <w:b/>
          <w:bCs/>
          <w:color w:val="000000"/>
          <w:kern w:val="36"/>
          <w:sz w:val="34"/>
          <w:szCs w:val="34"/>
        </w:rPr>
      </w:pPr>
      <w:r w:rsidRPr="003C794C">
        <w:rPr>
          <w:rFonts w:ascii="Verdana" w:eastAsia="Times New Roman" w:hAnsi="Verdana" w:cs="Arial"/>
          <w:b/>
          <w:bCs/>
          <w:color w:val="000000"/>
          <w:kern w:val="36"/>
          <w:sz w:val="27"/>
          <w:szCs w:val="27"/>
        </w:rPr>
        <w:t>Could Canadian fusion power be in play by 2030?</w:t>
      </w:r>
    </w:p>
    <w:p w14:paraId="423701C4" w14:textId="3A35BB10" w:rsidR="00611584" w:rsidRDefault="00352D51" w:rsidP="00352D51">
      <w:r w:rsidRPr="003C794C">
        <w:rPr>
          <w:rFonts w:ascii="Verdana" w:eastAsia="Times New Roman" w:hAnsi="Verdana" w:cs="Arial"/>
          <w:color w:val="000000"/>
          <w:sz w:val="18"/>
          <w:szCs w:val="18"/>
        </w:rPr>
        <w:t>Universities rally around B.C. company in push for national fusion energy strategy, funding </w:t>
      </w:r>
    </w:p>
    <w:sectPr w:rsidR="006115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51"/>
    <w:rsid w:val="000C279E"/>
    <w:rsid w:val="00335B92"/>
    <w:rsid w:val="00352D51"/>
    <w:rsid w:val="00611584"/>
    <w:rsid w:val="00663F29"/>
    <w:rsid w:val="00D669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56E8"/>
  <w15:chartTrackingRefBased/>
  <w15:docId w15:val="{2540A0E9-59EA-4D83-BE38-DAECEC24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51"/>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352D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352D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352D51"/>
    <w:pPr>
      <w:keepNext/>
      <w:keepLines/>
      <w:spacing w:before="160" w:after="80" w:line="278" w:lineRule="auto"/>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352D51"/>
    <w:pPr>
      <w:keepNext/>
      <w:keepLines/>
      <w:spacing w:before="80" w:after="40" w:line="278" w:lineRule="auto"/>
      <w:outlineLvl w:val="3"/>
    </w:pPr>
    <w:rPr>
      <w:rFonts w:eastAsiaTheme="majorEastAsia" w:cstheme="majorBidi"/>
      <w:i/>
      <w:iCs/>
      <w:color w:val="0F4761" w:themeColor="accent1" w:themeShade="BF"/>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352D51"/>
    <w:pPr>
      <w:keepNext/>
      <w:keepLines/>
      <w:spacing w:before="80" w:after="40" w:line="278" w:lineRule="auto"/>
      <w:outlineLvl w:val="4"/>
    </w:pPr>
    <w:rPr>
      <w:rFonts w:eastAsiaTheme="majorEastAsia" w:cstheme="majorBidi"/>
      <w:color w:val="0F4761" w:themeColor="accent1" w:themeShade="BF"/>
      <w:kern w:val="2"/>
      <w:sz w:val="24"/>
      <w:szCs w:val="24"/>
      <w:lang w:val="en-CA"/>
      <w14:ligatures w14:val="standardContextual"/>
    </w:rPr>
  </w:style>
  <w:style w:type="paragraph" w:styleId="Heading6">
    <w:name w:val="heading 6"/>
    <w:basedOn w:val="Normal"/>
    <w:next w:val="Normal"/>
    <w:link w:val="Heading6Char"/>
    <w:uiPriority w:val="9"/>
    <w:semiHidden/>
    <w:unhideWhenUsed/>
    <w:qFormat/>
    <w:rsid w:val="00352D51"/>
    <w:pPr>
      <w:keepNext/>
      <w:keepLines/>
      <w:spacing w:before="40" w:after="0" w:line="278" w:lineRule="auto"/>
      <w:outlineLvl w:val="5"/>
    </w:pPr>
    <w:rPr>
      <w:rFonts w:eastAsiaTheme="majorEastAsia" w:cstheme="majorBidi"/>
      <w:i/>
      <w:iCs/>
      <w:color w:val="595959" w:themeColor="text1" w:themeTint="A6"/>
      <w:kern w:val="2"/>
      <w:sz w:val="24"/>
      <w:szCs w:val="24"/>
      <w:lang w:val="en-CA"/>
      <w14:ligatures w14:val="standardContextual"/>
    </w:rPr>
  </w:style>
  <w:style w:type="paragraph" w:styleId="Heading7">
    <w:name w:val="heading 7"/>
    <w:basedOn w:val="Normal"/>
    <w:next w:val="Normal"/>
    <w:link w:val="Heading7Char"/>
    <w:uiPriority w:val="9"/>
    <w:semiHidden/>
    <w:unhideWhenUsed/>
    <w:qFormat/>
    <w:rsid w:val="00352D51"/>
    <w:pPr>
      <w:keepNext/>
      <w:keepLines/>
      <w:spacing w:before="40" w:after="0" w:line="278" w:lineRule="auto"/>
      <w:outlineLvl w:val="6"/>
    </w:pPr>
    <w:rPr>
      <w:rFonts w:eastAsiaTheme="majorEastAsia" w:cstheme="majorBidi"/>
      <w:color w:val="595959" w:themeColor="text1" w:themeTint="A6"/>
      <w:kern w:val="2"/>
      <w:sz w:val="24"/>
      <w:szCs w:val="24"/>
      <w:lang w:val="en-CA"/>
      <w14:ligatures w14:val="standardContextual"/>
    </w:rPr>
  </w:style>
  <w:style w:type="paragraph" w:styleId="Heading8">
    <w:name w:val="heading 8"/>
    <w:basedOn w:val="Normal"/>
    <w:next w:val="Normal"/>
    <w:link w:val="Heading8Char"/>
    <w:uiPriority w:val="9"/>
    <w:semiHidden/>
    <w:unhideWhenUsed/>
    <w:qFormat/>
    <w:rsid w:val="00352D51"/>
    <w:pPr>
      <w:keepNext/>
      <w:keepLines/>
      <w:spacing w:after="0" w:line="278" w:lineRule="auto"/>
      <w:outlineLvl w:val="7"/>
    </w:pPr>
    <w:rPr>
      <w:rFonts w:eastAsiaTheme="majorEastAsia" w:cstheme="majorBidi"/>
      <w:i/>
      <w:iCs/>
      <w:color w:val="272727" w:themeColor="text1" w:themeTint="D8"/>
      <w:kern w:val="2"/>
      <w:sz w:val="24"/>
      <w:szCs w:val="24"/>
      <w:lang w:val="en-CA"/>
      <w14:ligatures w14:val="standardContextual"/>
    </w:rPr>
  </w:style>
  <w:style w:type="paragraph" w:styleId="Heading9">
    <w:name w:val="heading 9"/>
    <w:basedOn w:val="Normal"/>
    <w:next w:val="Normal"/>
    <w:link w:val="Heading9Char"/>
    <w:uiPriority w:val="9"/>
    <w:semiHidden/>
    <w:unhideWhenUsed/>
    <w:qFormat/>
    <w:rsid w:val="00352D51"/>
    <w:pPr>
      <w:keepNext/>
      <w:keepLines/>
      <w:spacing w:after="0" w:line="278" w:lineRule="auto"/>
      <w:outlineLvl w:val="8"/>
    </w:pPr>
    <w:rPr>
      <w:rFonts w:eastAsiaTheme="majorEastAsia" w:cstheme="majorBidi"/>
      <w:color w:val="272727" w:themeColor="text1" w:themeTint="D8"/>
      <w:kern w:val="2"/>
      <w:sz w:val="24"/>
      <w:szCs w:val="24"/>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D51"/>
    <w:rPr>
      <w:rFonts w:eastAsiaTheme="majorEastAsia" w:cstheme="majorBidi"/>
      <w:color w:val="272727" w:themeColor="text1" w:themeTint="D8"/>
    </w:rPr>
  </w:style>
  <w:style w:type="paragraph" w:styleId="Title">
    <w:name w:val="Title"/>
    <w:basedOn w:val="Normal"/>
    <w:next w:val="Normal"/>
    <w:link w:val="TitleChar"/>
    <w:uiPriority w:val="10"/>
    <w:qFormat/>
    <w:rsid w:val="00352D51"/>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352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D51"/>
    <w:pPr>
      <w:numPr>
        <w:ilvl w:val="1"/>
      </w:numPr>
      <w:spacing w:after="160" w:line="278" w:lineRule="auto"/>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352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D51"/>
    <w:pPr>
      <w:spacing w:before="160" w:after="160" w:line="278" w:lineRule="auto"/>
      <w:jc w:val="center"/>
    </w:pPr>
    <w:rPr>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29"/>
    <w:rsid w:val="00352D51"/>
    <w:rPr>
      <w:i/>
      <w:iCs/>
      <w:color w:val="404040" w:themeColor="text1" w:themeTint="BF"/>
    </w:rPr>
  </w:style>
  <w:style w:type="paragraph" w:styleId="ListParagraph">
    <w:name w:val="List Paragraph"/>
    <w:basedOn w:val="Normal"/>
    <w:uiPriority w:val="34"/>
    <w:qFormat/>
    <w:rsid w:val="00352D51"/>
    <w:pPr>
      <w:spacing w:after="160" w:line="278" w:lineRule="auto"/>
      <w:ind w:left="720"/>
      <w:contextualSpacing/>
    </w:pPr>
    <w:rPr>
      <w:kern w:val="2"/>
      <w:sz w:val="24"/>
      <w:szCs w:val="24"/>
      <w:lang w:val="en-CA"/>
      <w14:ligatures w14:val="standardContextual"/>
    </w:rPr>
  </w:style>
  <w:style w:type="character" w:styleId="IntenseEmphasis">
    <w:name w:val="Intense Emphasis"/>
    <w:basedOn w:val="DefaultParagraphFont"/>
    <w:uiPriority w:val="21"/>
    <w:qFormat/>
    <w:rsid w:val="00352D51"/>
    <w:rPr>
      <w:i/>
      <w:iCs/>
      <w:color w:val="0F4761" w:themeColor="accent1" w:themeShade="BF"/>
    </w:rPr>
  </w:style>
  <w:style w:type="paragraph" w:styleId="IntenseQuote">
    <w:name w:val="Intense Quote"/>
    <w:basedOn w:val="Normal"/>
    <w:next w:val="Normal"/>
    <w:link w:val="IntenseQuoteChar"/>
    <w:uiPriority w:val="30"/>
    <w:qFormat/>
    <w:rsid w:val="00352D5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CA"/>
      <w14:ligatures w14:val="standardContextual"/>
    </w:rPr>
  </w:style>
  <w:style w:type="character" w:customStyle="1" w:styleId="IntenseQuoteChar">
    <w:name w:val="Intense Quote Char"/>
    <w:basedOn w:val="DefaultParagraphFont"/>
    <w:link w:val="IntenseQuote"/>
    <w:uiPriority w:val="30"/>
    <w:rsid w:val="00352D51"/>
    <w:rPr>
      <w:i/>
      <w:iCs/>
      <w:color w:val="0F4761" w:themeColor="accent1" w:themeShade="BF"/>
    </w:rPr>
  </w:style>
  <w:style w:type="character" w:styleId="IntenseReference">
    <w:name w:val="Intense Reference"/>
    <w:basedOn w:val="DefaultParagraphFont"/>
    <w:uiPriority w:val="32"/>
    <w:qFormat/>
    <w:rsid w:val="00352D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searchmoneyinc.com/articles/fusion%E2%80%90energy%E2%80%90roadmap%E2%80%90pushing%E2%80%90emissions%E2%80%90free%E2%80%90energy%E2%80%90ontopolitical%E2%80%90%20radar%E2%80%90innovation%E2%80%90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Kinkaide</dc:creator>
  <cp:keywords/>
  <dc:description/>
  <cp:lastModifiedBy>Perry Kinkaide</cp:lastModifiedBy>
  <cp:revision>2</cp:revision>
  <dcterms:created xsi:type="dcterms:W3CDTF">2025-12-27T18:01:00Z</dcterms:created>
  <dcterms:modified xsi:type="dcterms:W3CDTF">2025-12-27T18:01:00Z</dcterms:modified>
</cp:coreProperties>
</file>